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2AE75" w14:textId="77777777" w:rsidR="00AE1819" w:rsidRDefault="00000000">
      <w:pPr>
        <w:spacing w:after="60"/>
        <w:jc w:val="center"/>
      </w:pPr>
      <w:r>
        <w:rPr>
          <w:noProof/>
        </w:rPr>
        <w:drawing>
          <wp:inline distT="0" distB="0" distL="0" distR="0" wp14:anchorId="230D62AA" wp14:editId="538ED000">
            <wp:extent cx="609600" cy="59055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609600" cy="590550"/>
                    </a:xfrm>
                    <a:prstGeom prst="rect">
                      <a:avLst/>
                    </a:prstGeom>
                  </pic:spPr>
                </pic:pic>
              </a:graphicData>
            </a:graphic>
          </wp:inline>
        </w:drawing>
      </w:r>
    </w:p>
    <w:p w14:paraId="21AB7581" w14:textId="77777777" w:rsidR="00AE1819" w:rsidRDefault="00000000">
      <w:pPr>
        <w:spacing w:after="20"/>
        <w:jc w:val="center"/>
      </w:pPr>
      <w:r>
        <w:rPr>
          <w:b/>
          <w:bCs/>
          <w:color w:val="1F3864"/>
          <w:sz w:val="30"/>
          <w:szCs w:val="30"/>
        </w:rPr>
        <w:t>TONIAZZO ADVOGADOS</w:t>
      </w:r>
    </w:p>
    <w:p w14:paraId="49C795C7" w14:textId="77777777" w:rsidR="00AE1819" w:rsidRDefault="00000000">
      <w:pPr>
        <w:spacing w:after="20"/>
        <w:jc w:val="center"/>
      </w:pPr>
      <w:r>
        <w:rPr>
          <w:color w:val="595959"/>
          <w:sz w:val="18"/>
          <w:szCs w:val="18"/>
        </w:rPr>
        <w:t>Rua General Liberato Bittencourt, nº 1475, Sala 817, Florianópolis/SC</w:t>
      </w:r>
    </w:p>
    <w:p w14:paraId="08C9CAD0" w14:textId="77777777" w:rsidR="00AE1819" w:rsidRDefault="00000000">
      <w:pPr>
        <w:spacing w:after="200"/>
        <w:jc w:val="center"/>
      </w:pPr>
      <w:r>
        <w:rPr>
          <w:color w:val="595959"/>
          <w:sz w:val="18"/>
          <w:szCs w:val="18"/>
        </w:rPr>
        <w:t>Responsável técnico: Paulo Roberto Froes Toniazzo — OAB/SC 45.650</w:t>
      </w:r>
    </w:p>
    <w:p w14:paraId="40764708" w14:textId="77777777" w:rsidR="00AE1819" w:rsidRDefault="00AE1819">
      <w:pPr>
        <w:pBdr>
          <w:bottom w:val="single" w:sz="12" w:space="4" w:color="1F3864"/>
        </w:pBdr>
        <w:spacing w:after="240"/>
      </w:pPr>
    </w:p>
    <w:p w14:paraId="148FE3F6" w14:textId="77777777" w:rsidR="00AE1819" w:rsidRDefault="00000000">
      <w:pPr>
        <w:spacing w:after="40"/>
        <w:jc w:val="center"/>
      </w:pPr>
      <w:r>
        <w:rPr>
          <w:b/>
          <w:bCs/>
          <w:color w:val="1F3864"/>
          <w:sz w:val="30"/>
          <w:szCs w:val="30"/>
        </w:rPr>
        <w:t>BOLETIM JURISPRUDENCIAL SEMANAL — DIREITO DE FAMÍLIA</w:t>
      </w:r>
    </w:p>
    <w:p w14:paraId="6F2916FA" w14:textId="77777777" w:rsidR="00AE1819" w:rsidRDefault="00000000">
      <w:pPr>
        <w:spacing w:after="40"/>
        <w:jc w:val="center"/>
      </w:pPr>
      <w:r>
        <w:rPr>
          <w:b/>
          <w:bCs/>
          <w:sz w:val="21"/>
          <w:szCs w:val="21"/>
        </w:rPr>
        <w:t>Período pesquisado: segunda-feira, 21 de setembro de 2026, a domingo, 27 de setembro de 2026</w:t>
      </w:r>
    </w:p>
    <w:p w14:paraId="16636105" w14:textId="77777777" w:rsidR="00AE1819" w:rsidRDefault="00000000">
      <w:pPr>
        <w:spacing w:after="300"/>
        <w:jc w:val="center"/>
      </w:pPr>
      <w:r>
        <w:rPr>
          <w:color w:val="595959"/>
        </w:rPr>
        <w:t>Data da pesquisa: 28 de setembro de 2026</w:t>
      </w:r>
    </w:p>
    <w:p w14:paraId="7D8DBB61" w14:textId="77777777" w:rsidR="00AE1819" w:rsidRDefault="00000000">
      <w:pPr>
        <w:pStyle w:val="Ttulo2"/>
        <w:pBdr>
          <w:bottom w:val="single" w:sz="4" w:space="2" w:color="BFBFBF"/>
        </w:pBdr>
        <w:spacing w:before="300" w:after="120"/>
      </w:pPr>
      <w:r>
        <w:rPr>
          <w:b/>
          <w:bCs/>
          <w:color w:val="1F3864"/>
          <w:sz w:val="24"/>
          <w:szCs w:val="24"/>
        </w:rPr>
        <w:t>Critérios de seleção dos julgados</w:t>
      </w:r>
    </w:p>
    <w:p w14:paraId="415A6BC7" w14:textId="77777777" w:rsidR="00AE1819" w:rsidRDefault="00000000">
      <w:pPr>
        <w:spacing w:after="160" w:line="300" w:lineRule="auto"/>
        <w:jc w:val="both"/>
      </w:pPr>
      <w:r>
        <w:rPr>
          <w:sz w:val="21"/>
          <w:szCs w:val="21"/>
        </w:rPr>
        <w:t>A seleção considerou seis critérios cumulativos, aplicados de forma combinada e não hierárquica: impacto prático direto no contencioso de família (efeito imediato sobre pedidos, defesas ou estratégia recursal); novidade do entendimento firmado ou revisado; recorrência do tema na prática cível de família; potencial de uso em petições iniciais, contestações ou recursos; alinhamento ou divergência em relação a precedentes do Superior Tribunal de Justiça; e utilidade para prevenção de risco processual, entendida como a capacidade de o precedente orientar a estratégia probatória ou a redação de cláusulas e pedidos de modo a reduzir a chance de insucesso.</w:t>
      </w:r>
    </w:p>
    <w:p w14:paraId="5BD745FA" w14:textId="77777777" w:rsidR="00AE1819" w:rsidRDefault="00000000">
      <w:pPr>
        <w:pStyle w:val="Ttulo2"/>
        <w:pBdr>
          <w:bottom w:val="single" w:sz="4" w:space="2" w:color="BFBFBF"/>
        </w:pBdr>
        <w:spacing w:before="300" w:after="120"/>
      </w:pPr>
      <w:r>
        <w:rPr>
          <w:b/>
          <w:bCs/>
          <w:color w:val="1F3864"/>
          <w:sz w:val="24"/>
          <w:szCs w:val="24"/>
        </w:rPr>
        <w:t>Julgados por tema</w:t>
      </w:r>
    </w:p>
    <w:p w14:paraId="6CA48194" w14:textId="77777777" w:rsidR="00AE1819" w:rsidRDefault="00000000">
      <w:pPr>
        <w:pStyle w:val="Ttulo3"/>
        <w:spacing w:before="240" w:after="100"/>
      </w:pPr>
      <w:r>
        <w:rPr>
          <w:b/>
          <w:bCs/>
          <w:color w:val="1F3864"/>
          <w:sz w:val="22"/>
          <w:szCs w:val="22"/>
        </w:rPr>
        <w:t>1. Guarda e convivência (inclusive alienação parental)</w:t>
      </w:r>
    </w:p>
    <w:p w14:paraId="2A4234FD" w14:textId="77777777" w:rsidR="00AE1819" w:rsidRDefault="00000000">
      <w:pPr>
        <w:spacing w:after="160" w:line="300" w:lineRule="auto"/>
        <w:jc w:val="both"/>
      </w:pPr>
      <w:r>
        <w:rPr>
          <w:sz w:val="21"/>
          <w:szCs w:val="21"/>
        </w:rPr>
        <w:t>O único registro correlato ao tema, dentro da semana, tem natureza institucional e não jurisdicional: o IBDFAM noticiou, em 25/09/2026, ter apresentado ao Conselho Nacional de Justiça proposta sobre a forma de averbação da autoridade parental em certidões de registro civil. A notícia é tratada na seção de artigos e notícias em destaque deste boletim, não como julgado.</w:t>
      </w:r>
    </w:p>
    <w:p w14:paraId="48F7A25B" w14:textId="77777777" w:rsidR="00AE1819" w:rsidRDefault="00000000">
      <w:pPr>
        <w:pStyle w:val="Ttulo3"/>
        <w:spacing w:before="240" w:after="100"/>
      </w:pPr>
      <w:r>
        <w:rPr>
          <w:b/>
          <w:bCs/>
          <w:color w:val="1F3864"/>
          <w:sz w:val="22"/>
          <w:szCs w:val="22"/>
        </w:rPr>
        <w:t>2. Pensão alimentícia (fixação, revisão, exoneração e execução, inclusive prisão civil)</w:t>
      </w:r>
    </w:p>
    <w:p w14:paraId="5B923A7F" w14:textId="77777777" w:rsidR="00AE1819" w:rsidRDefault="00000000">
      <w:pPr>
        <w:spacing w:before="180" w:after="80"/>
      </w:pPr>
      <w:r>
        <w:rPr>
          <w:b/>
          <w:bCs/>
          <w:sz w:val="21"/>
          <w:szCs w:val="21"/>
        </w:rPr>
        <w:t>TJSC confirma suspensão de CNH e bloqueio de cartões de devedor de pensão (precedente de contexto — anterior ao período)</w:t>
      </w:r>
    </w:p>
    <w:p w14:paraId="13DAF3C1" w14:textId="77777777" w:rsidR="00AE1819" w:rsidRDefault="00000000">
      <w:pPr>
        <w:spacing w:after="40"/>
        <w:ind w:left="200"/>
      </w:pPr>
      <w:r>
        <w:rPr>
          <w:b/>
          <w:bCs/>
        </w:rPr>
        <w:t xml:space="preserve">Tema/categoria: </w:t>
      </w:r>
      <w:r>
        <w:t>Pensão alimentícia — execução, meios executivos atípicos</w:t>
      </w:r>
    </w:p>
    <w:p w14:paraId="51C5EFE1" w14:textId="77777777" w:rsidR="00AE1819" w:rsidRDefault="00000000">
      <w:pPr>
        <w:spacing w:after="40"/>
        <w:ind w:left="200"/>
      </w:pPr>
      <w:r>
        <w:rPr>
          <w:b/>
          <w:bCs/>
        </w:rPr>
        <w:t xml:space="preserve">Tribunal: </w:t>
      </w:r>
      <w:r>
        <w:t>TJSC (precedente de contexto, notícia de 15/04/2026 — fora do período pesquisado)</w:t>
      </w:r>
    </w:p>
    <w:p w14:paraId="3190707E" w14:textId="77777777" w:rsidR="00AE1819" w:rsidRDefault="00000000">
      <w:pPr>
        <w:spacing w:after="40"/>
        <w:ind w:left="200"/>
      </w:pPr>
      <w:r>
        <w:rPr>
          <w:b/>
          <w:bCs/>
        </w:rPr>
        <w:t xml:space="preserve">Órgão julgador: </w:t>
      </w:r>
      <w:r>
        <w:t>4ª Câmara de Direito Civil</w:t>
      </w:r>
    </w:p>
    <w:p w14:paraId="0D385EE1" w14:textId="77777777" w:rsidR="00AE1819" w:rsidRDefault="00000000">
      <w:pPr>
        <w:spacing w:after="40"/>
        <w:ind w:left="200"/>
      </w:pPr>
      <w:r>
        <w:rPr>
          <w:b/>
          <w:bCs/>
        </w:rPr>
        <w:t xml:space="preserve">Número do processo: </w:t>
      </w:r>
      <w:r>
        <w:t>Não confirmado — tramitação em segredo de justiça, conforme a notícia consultada</w:t>
      </w:r>
    </w:p>
    <w:p w14:paraId="469C8DB1" w14:textId="77777777" w:rsidR="00AE1819" w:rsidRDefault="00000000">
      <w:pPr>
        <w:spacing w:after="40"/>
        <w:ind w:left="200"/>
      </w:pPr>
      <w:r>
        <w:rPr>
          <w:b/>
          <w:bCs/>
        </w:rPr>
        <w:t xml:space="preserve">Classe processual: </w:t>
      </w:r>
      <w:r>
        <w:t>Não especificado na fonte consultada</w:t>
      </w:r>
    </w:p>
    <w:p w14:paraId="7EF4A2BA" w14:textId="77777777" w:rsidR="00AE1819" w:rsidRDefault="00000000">
      <w:pPr>
        <w:spacing w:after="40"/>
        <w:ind w:left="200"/>
      </w:pPr>
      <w:r>
        <w:rPr>
          <w:b/>
          <w:bCs/>
        </w:rPr>
        <w:t xml:space="preserve">Data de julgamento/publicação: </w:t>
      </w:r>
      <w:r>
        <w:t>Notícia publicada em 15/04/2026</w:t>
      </w:r>
    </w:p>
    <w:p w14:paraId="0A13BB33" w14:textId="77777777" w:rsidR="00AE1819" w:rsidRDefault="00000000">
      <w:pPr>
        <w:spacing w:after="40"/>
        <w:ind w:left="200"/>
      </w:pPr>
      <w:r>
        <w:rPr>
          <w:b/>
          <w:bCs/>
        </w:rPr>
        <w:t xml:space="preserve">Relator(a): </w:t>
      </w:r>
      <w:r>
        <w:t>Não identificado na fonte consultada</w:t>
      </w:r>
    </w:p>
    <w:p w14:paraId="3201504C" w14:textId="77777777" w:rsidR="00AE1819" w:rsidRDefault="00000000">
      <w:pPr>
        <w:spacing w:after="40"/>
        <w:ind w:left="200"/>
      </w:pPr>
      <w:r>
        <w:rPr>
          <w:b/>
          <w:bCs/>
        </w:rPr>
        <w:t xml:space="preserve">Resumo objetivo da controvérsia: </w:t>
      </w:r>
      <w:r>
        <w:t>Execução de alimentos pendente desde 2021, sem quitação ou proposta concreta de pagamento pelo executado, que alegava baixa renda. O primeiro grau determinou, como medidas coercitivas, a suspensão da CNH e o bloqueio de cartões de crédito; o TJSC manteve a decisão.</w:t>
      </w:r>
    </w:p>
    <w:p w14:paraId="777232FF" w14:textId="77777777" w:rsidR="00AE1819" w:rsidRDefault="00000000">
      <w:pPr>
        <w:spacing w:after="40"/>
        <w:ind w:left="200"/>
      </w:pPr>
      <w:r>
        <w:rPr>
          <w:b/>
          <w:bCs/>
        </w:rPr>
        <w:t xml:space="preserve">Critério específico de relevância: </w:t>
      </w:r>
      <w:r>
        <w:t>Aplicação direta do Tema 1137/STJ (medidas executivas atípicas), com parâmetros de subsidiariedade, proporcionalidade e razoabilidade — tese de uso recorrente em toda execução de alimentos inadimplida no estado.</w:t>
      </w:r>
    </w:p>
    <w:p w14:paraId="731B5419" w14:textId="77777777" w:rsidR="00AE1819" w:rsidRDefault="00000000">
      <w:pPr>
        <w:spacing w:after="40"/>
        <w:ind w:left="200"/>
      </w:pPr>
      <w:r>
        <w:rPr>
          <w:b/>
          <w:bCs/>
        </w:rPr>
        <w:t xml:space="preserve">Tese ou entendimento adotado: </w:t>
      </w:r>
      <w:r>
        <w:t>As medidas atípicas do art. 139, IV, do CPC (suspensão de CNH, bloqueio de cartões) têm caráter coercitivo, não punitivo, e são cabíveis quando fundamentadas e observados os critérios de subsidiariedade e proporcionalidade.</w:t>
      </w:r>
    </w:p>
    <w:p w14:paraId="7A763FD6" w14:textId="77777777" w:rsidR="00AE1819" w:rsidRDefault="00000000">
      <w:pPr>
        <w:spacing w:after="40"/>
        <w:ind w:left="200"/>
      </w:pPr>
      <w:r>
        <w:rPr>
          <w:b/>
          <w:bCs/>
        </w:rPr>
        <w:lastRenderedPageBreak/>
        <w:t xml:space="preserve">Resultado do julgamento: </w:t>
      </w:r>
      <w:r>
        <w:t>Recurso do devedor desprovido; mantida integralmente a decisão de primeiro grau.</w:t>
      </w:r>
    </w:p>
    <w:p w14:paraId="257BDF38" w14:textId="77777777" w:rsidR="00AE1819" w:rsidRDefault="00000000">
      <w:pPr>
        <w:spacing w:after="40"/>
        <w:ind w:left="200"/>
      </w:pPr>
      <w:r>
        <w:rPr>
          <w:b/>
          <w:bCs/>
        </w:rPr>
        <w:t xml:space="preserve">Impacto prático para o contencioso de família: </w:t>
      </w:r>
      <w:r>
        <w:t>Reforça a viabilidade de requerer, na petição de execução de alimentos, medidas atípicas cumulativas (CNH e cartões), desde que demonstrada a subsidiariedade em relação à penhora ou ao desconto em folha.</w:t>
      </w:r>
    </w:p>
    <w:p w14:paraId="1C2F1F2B" w14:textId="77777777" w:rsidR="00AE1819" w:rsidRDefault="00000000">
      <w:pPr>
        <w:spacing w:after="40"/>
        <w:ind w:left="200"/>
      </w:pPr>
      <w:r>
        <w:rPr>
          <w:b/>
          <w:bCs/>
        </w:rPr>
        <w:t xml:space="preserve">Teses/argumentos estratégicos derivados: </w:t>
      </w:r>
      <w:r>
        <w:t>Para o credor: instruir o pedido de medida atípica com histórico de tentativas de constrição patrimonial frustradas, para atender à subsidiariedade exigida. Para o devedor: impugnar a proporcionalidade e a razoabilidade da medida diante de real incapacidade financeira comprovada, não bastando alegação genérica de baixa renda.</w:t>
      </w:r>
    </w:p>
    <w:p w14:paraId="56CB7475" w14:textId="77777777" w:rsidR="00AE1819" w:rsidRDefault="00000000">
      <w:pPr>
        <w:spacing w:after="40"/>
        <w:ind w:left="200"/>
      </w:pPr>
      <w:r>
        <w:rPr>
          <w:b/>
          <w:bCs/>
        </w:rPr>
        <w:t xml:space="preserve">Natureza do impacto: </w:t>
      </w:r>
      <w:r>
        <w:t>Processual (meios executivos), com reflexo prático imediato em execuções de alimentos</w:t>
      </w:r>
    </w:p>
    <w:p w14:paraId="563FA36A" w14:textId="77777777" w:rsidR="00AE1819" w:rsidRDefault="00000000">
      <w:pPr>
        <w:spacing w:after="40"/>
        <w:ind w:left="200"/>
      </w:pPr>
      <w:r>
        <w:rPr>
          <w:b/>
          <w:bCs/>
        </w:rPr>
        <w:t xml:space="preserve">Link oficial: </w:t>
      </w:r>
      <w:r>
        <w:t>https://ibdfam.org.br/noticias/13800/ (cobertura do IBDFAM sobre a decisão do TJSC; não foi possível confirmar link direto do acórdão em fonte oficial do TJSC nesta pesquisa)</w:t>
      </w:r>
    </w:p>
    <w:p w14:paraId="626CFD76" w14:textId="25B88D1C" w:rsidR="00AE1819" w:rsidRDefault="00000000">
      <w:pPr>
        <w:spacing w:after="160" w:line="300" w:lineRule="auto"/>
        <w:jc w:val="both"/>
      </w:pPr>
      <w:r>
        <w:rPr>
          <w:i/>
          <w:iCs/>
          <w:sz w:val="21"/>
          <w:szCs w:val="21"/>
        </w:rPr>
        <w:t xml:space="preserve">Sinalização expressa: esta decisão foi noticiada em abril de 2026, cerca de cinco meses antes da semana pesquisada — não se trata, portanto, de precedente imediatamente anterior ao período, mas do registro mais recente e diretamente aplicável ao tema localizado nas fontes acessíveis. </w:t>
      </w:r>
    </w:p>
    <w:p w14:paraId="0A447D8C" w14:textId="77777777" w:rsidR="00AE1819" w:rsidRDefault="00AE1819">
      <w:pPr>
        <w:pBdr>
          <w:bottom w:val="single" w:sz="2" w:space="1" w:color="D9D9D9"/>
        </w:pBdr>
        <w:spacing w:before="60" w:after="200"/>
      </w:pPr>
    </w:p>
    <w:p w14:paraId="009129FF" w14:textId="77777777" w:rsidR="00AE1819" w:rsidRDefault="00000000">
      <w:pPr>
        <w:pStyle w:val="Ttulo3"/>
        <w:spacing w:before="240" w:after="100"/>
      </w:pPr>
      <w:r>
        <w:rPr>
          <w:b/>
          <w:bCs/>
          <w:color w:val="1F3864"/>
          <w:sz w:val="22"/>
          <w:szCs w:val="22"/>
        </w:rPr>
        <w:t>3. Reconhecimento e dissolução de união estável (inclusive distinção com namoro qualificado e uniões paralelas)</w:t>
      </w:r>
    </w:p>
    <w:p w14:paraId="3FA15C2D" w14:textId="6AE08CD9" w:rsidR="00AE1819" w:rsidRDefault="00770E12">
      <w:pPr>
        <w:spacing w:after="160" w:line="300" w:lineRule="auto"/>
        <w:jc w:val="both"/>
      </w:pPr>
      <w:r>
        <w:rPr>
          <w:sz w:val="21"/>
          <w:szCs w:val="21"/>
        </w:rPr>
        <w:t>R</w:t>
      </w:r>
      <w:r w:rsidR="00000000">
        <w:rPr>
          <w:sz w:val="21"/>
          <w:szCs w:val="21"/>
        </w:rPr>
        <w:t xml:space="preserve">egistra-se que o TJAC reconheceu união estável post mortem em decisão noticiada pelo IBDFAM em 25/09/2026, com base em certidão de óbito que já constava o companheiro, procuração pública outorgada em vida e depoimento de familiar. </w:t>
      </w:r>
    </w:p>
    <w:p w14:paraId="2C59EE3C" w14:textId="77777777" w:rsidR="00AE1819" w:rsidRDefault="00000000">
      <w:pPr>
        <w:pStyle w:val="Ttulo3"/>
        <w:spacing w:before="240" w:after="100"/>
      </w:pPr>
      <w:r>
        <w:rPr>
          <w:b/>
          <w:bCs/>
          <w:color w:val="1F3864"/>
          <w:sz w:val="22"/>
          <w:szCs w:val="22"/>
        </w:rPr>
        <w:t>4. Partilha de bens e divórcio litigioso</w:t>
      </w:r>
    </w:p>
    <w:p w14:paraId="76D21498" w14:textId="77777777" w:rsidR="00AE1819" w:rsidRDefault="00000000">
      <w:pPr>
        <w:spacing w:before="180" w:after="80"/>
      </w:pPr>
      <w:r>
        <w:rPr>
          <w:b/>
          <w:bCs/>
          <w:sz w:val="21"/>
          <w:szCs w:val="21"/>
        </w:rPr>
        <w:t>TJSC reconhece fraude à execução em transferências entre cônjuges (precedente de contexto — anterior ao período)</w:t>
      </w:r>
    </w:p>
    <w:p w14:paraId="746D0520" w14:textId="77777777" w:rsidR="00AE1819" w:rsidRDefault="00000000">
      <w:pPr>
        <w:spacing w:after="40"/>
        <w:ind w:left="200"/>
      </w:pPr>
      <w:r>
        <w:rPr>
          <w:b/>
          <w:bCs/>
        </w:rPr>
        <w:t xml:space="preserve">Tema/categoria: </w:t>
      </w:r>
      <w:r>
        <w:t>Partilha de bens e divórcio litigioso</w:t>
      </w:r>
    </w:p>
    <w:p w14:paraId="156A8AD9" w14:textId="77777777" w:rsidR="00AE1819" w:rsidRDefault="00000000">
      <w:pPr>
        <w:spacing w:after="40"/>
        <w:ind w:left="200"/>
      </w:pPr>
      <w:r>
        <w:rPr>
          <w:b/>
          <w:bCs/>
        </w:rPr>
        <w:t xml:space="preserve">Tribunal: </w:t>
      </w:r>
      <w:r>
        <w:t>TJSC (precedente de contexto, notícia de 27/01/2026 — fora do período pesquisado)</w:t>
      </w:r>
    </w:p>
    <w:p w14:paraId="335D61CD" w14:textId="77777777" w:rsidR="00AE1819" w:rsidRDefault="00000000">
      <w:pPr>
        <w:spacing w:after="40"/>
        <w:ind w:left="200"/>
      </w:pPr>
      <w:r>
        <w:rPr>
          <w:b/>
          <w:bCs/>
        </w:rPr>
        <w:t xml:space="preserve">Órgão julgador: </w:t>
      </w:r>
      <w:r>
        <w:t>1ª Câmara de Direito Civil</w:t>
      </w:r>
    </w:p>
    <w:p w14:paraId="207DCD71" w14:textId="77777777" w:rsidR="00AE1819" w:rsidRDefault="00000000">
      <w:pPr>
        <w:spacing w:after="40"/>
        <w:ind w:left="200"/>
      </w:pPr>
      <w:r>
        <w:rPr>
          <w:b/>
          <w:bCs/>
        </w:rPr>
        <w:t xml:space="preserve">Número do processo: </w:t>
      </w:r>
      <w:r>
        <w:t>5022669-45.2025.8.24.0000</w:t>
      </w:r>
    </w:p>
    <w:p w14:paraId="153F24F8" w14:textId="77777777" w:rsidR="00AE1819" w:rsidRDefault="00000000">
      <w:pPr>
        <w:spacing w:after="40"/>
        <w:ind w:left="200"/>
      </w:pPr>
      <w:r>
        <w:rPr>
          <w:b/>
          <w:bCs/>
        </w:rPr>
        <w:t xml:space="preserve">Classe processual: </w:t>
      </w:r>
      <w:r>
        <w:t>Agravo de Instrumento</w:t>
      </w:r>
    </w:p>
    <w:p w14:paraId="327A0B6C" w14:textId="77777777" w:rsidR="00AE1819" w:rsidRDefault="00000000">
      <w:pPr>
        <w:spacing w:after="40"/>
        <w:ind w:left="200"/>
      </w:pPr>
      <w:r>
        <w:rPr>
          <w:b/>
          <w:bCs/>
        </w:rPr>
        <w:t xml:space="preserve">Data de julgamento/publicação: </w:t>
      </w:r>
      <w:r>
        <w:t>Notícia publicada em 27/01/2026</w:t>
      </w:r>
    </w:p>
    <w:p w14:paraId="0F14F319" w14:textId="77777777" w:rsidR="00AE1819" w:rsidRDefault="00000000">
      <w:pPr>
        <w:spacing w:after="40"/>
        <w:ind w:left="200"/>
      </w:pPr>
      <w:r>
        <w:rPr>
          <w:b/>
          <w:bCs/>
        </w:rPr>
        <w:t xml:space="preserve">Relator(a): </w:t>
      </w:r>
      <w:r>
        <w:t>Não identificado na fonte consultada</w:t>
      </w:r>
    </w:p>
    <w:p w14:paraId="31BEB6C9" w14:textId="77777777" w:rsidR="00AE1819" w:rsidRDefault="00000000">
      <w:pPr>
        <w:spacing w:after="40"/>
        <w:ind w:left="200"/>
      </w:pPr>
      <w:r>
        <w:rPr>
          <w:b/>
          <w:bCs/>
        </w:rPr>
        <w:t xml:space="preserve">Resumo objetivo da controvérsia: </w:t>
      </w:r>
      <w:r>
        <w:t>Em execução, o devedor transferiu mais de R$ 5 milhões ao cônjuge por meio de sucessivos empréstimos, após ter sido notificado do débito, em aparente estratégia de blindagem patrimonial. Discutiu-se o reconhecimento de fraude à execução mesmo sem registro prévio de penhora, e a inclusão do cônjuge no polo passivo apesar do regime de separação total de bens.</w:t>
      </w:r>
    </w:p>
    <w:p w14:paraId="7C771967" w14:textId="77777777" w:rsidR="00AE1819" w:rsidRDefault="00000000">
      <w:pPr>
        <w:spacing w:after="40"/>
        <w:ind w:left="200"/>
      </w:pPr>
      <w:r>
        <w:rPr>
          <w:b/>
          <w:bCs/>
        </w:rPr>
        <w:t xml:space="preserve">Critério específico de relevância: </w:t>
      </w:r>
      <w:r>
        <w:t>Trata de estratégia recorrente em litígios patrimoniais entre cônjuges ou ex-cônjuges — transferência de bens ou numerário ao consorte para frustrar credores —, tema de alta incidência em divórcios litigiosos com disputa patrimonial concomitante a dívidas.</w:t>
      </w:r>
    </w:p>
    <w:p w14:paraId="00168333" w14:textId="77777777" w:rsidR="00AE1819" w:rsidRDefault="00000000">
      <w:pPr>
        <w:spacing w:after="40"/>
        <w:ind w:left="200"/>
      </w:pPr>
      <w:r>
        <w:rPr>
          <w:b/>
          <w:bCs/>
        </w:rPr>
        <w:t xml:space="preserve">Tese ou entendimento adotado: </w:t>
      </w:r>
      <w:r>
        <w:t>O reconhecimento de fraude à execução (art. 792, IV, do CPC) é possível sem registro prévio de penhora quando comprovada má-fé nas transações familiares; o cônjuge beneficiário pode ser incluído no polo passivo para viabilizar a constrição, mesmo em regime de separação de bens.</w:t>
      </w:r>
    </w:p>
    <w:p w14:paraId="7AB3FBE3" w14:textId="77777777" w:rsidR="00AE1819" w:rsidRDefault="00000000">
      <w:pPr>
        <w:spacing w:after="40"/>
        <w:ind w:left="200"/>
      </w:pPr>
      <w:r>
        <w:rPr>
          <w:b/>
          <w:bCs/>
        </w:rPr>
        <w:t xml:space="preserve">Resultado do julgamento: </w:t>
      </w:r>
      <w:r>
        <w:t>Recurso do devedor desprovido, por unanimidade; contratos de empréstimo declarados ineficazes perante o credor; aplicada multa por ato atentatório à dignidade da justiça; cônjuge incluído no polo passivo.</w:t>
      </w:r>
    </w:p>
    <w:p w14:paraId="65D334CA" w14:textId="77777777" w:rsidR="00AE1819" w:rsidRDefault="00000000">
      <w:pPr>
        <w:spacing w:after="40"/>
        <w:ind w:left="200"/>
      </w:pPr>
      <w:r>
        <w:rPr>
          <w:b/>
          <w:bCs/>
        </w:rPr>
        <w:t xml:space="preserve">Impacto prático para o contencioso de família: </w:t>
      </w:r>
      <w:r>
        <w:t>Relevante tanto para o advogado que representa credor de alimentos ou de indenização diante de ex-cônjuge devedor que tenta blindar patrimônio por meio de "empréstimos" simulados ao novo cônjuge ou companheiro, quanto para quem defende o cônjuge ou companheiro receptor de transferências patrimoniais em regime de separação de bens.</w:t>
      </w:r>
    </w:p>
    <w:p w14:paraId="729D24A3" w14:textId="77777777" w:rsidR="00AE1819" w:rsidRDefault="00000000">
      <w:pPr>
        <w:spacing w:after="40"/>
        <w:ind w:left="200"/>
      </w:pPr>
      <w:r>
        <w:rPr>
          <w:b/>
          <w:bCs/>
        </w:rPr>
        <w:t xml:space="preserve">Teses/argumentos estratégicos derivados: </w:t>
      </w:r>
      <w:r>
        <w:t xml:space="preserve">Para o credor: reunir indícios de simulação — proximidade temporal com a notificação do débito, ausência de garantias ou formalidades típicas de mútuo real — para requerer o reconhecimento de fraude à execução independentemente de registro de penhora. Para o cônjuge ou terceiro: demonstrar a existência de </w:t>
      </w:r>
      <w:r>
        <w:lastRenderedPageBreak/>
        <w:t>mútuo real e anterior à ciência do débito, com documentação e fluxo financeiro coerente, para afastar a presunção de fraude.</w:t>
      </w:r>
    </w:p>
    <w:p w14:paraId="119379B4" w14:textId="77777777" w:rsidR="00AE1819" w:rsidRDefault="00000000">
      <w:pPr>
        <w:spacing w:after="40"/>
        <w:ind w:left="200"/>
      </w:pPr>
      <w:r>
        <w:rPr>
          <w:b/>
          <w:bCs/>
        </w:rPr>
        <w:t xml:space="preserve">Natureza do impacto: </w:t>
      </w:r>
      <w:r>
        <w:t>Probatório e material (ônus da prova da simulação/fraude e efeitos patrimoniais sobre a partilha e a garantia do crédito)</w:t>
      </w:r>
    </w:p>
    <w:p w14:paraId="61B0A4DD" w14:textId="77777777" w:rsidR="00AE1819" w:rsidRDefault="00000000">
      <w:pPr>
        <w:spacing w:after="40"/>
        <w:ind w:left="200"/>
      </w:pPr>
      <w:r>
        <w:rPr>
          <w:b/>
          <w:bCs/>
        </w:rPr>
        <w:t xml:space="preserve">Link oficial: </w:t>
      </w:r>
      <w:r>
        <w:t>https://ibdfam.org.br/noticias/13572/ (cobertura do IBDFAM; número do processo confirmado no texto da notícia; link oficial do acórdão no TJSC não confirmado nesta pesquisa)</w:t>
      </w:r>
    </w:p>
    <w:p w14:paraId="50B18E26" w14:textId="77777777" w:rsidR="00AE1819" w:rsidRDefault="00000000">
      <w:pPr>
        <w:spacing w:after="160" w:line="300" w:lineRule="auto"/>
        <w:jc w:val="both"/>
      </w:pPr>
      <w:r>
        <w:rPr>
          <w:i/>
          <w:iCs/>
          <w:sz w:val="21"/>
          <w:szCs w:val="21"/>
        </w:rPr>
        <w:t>Sinalização expressa: decisão noticiada em janeiro de 2026, cerca de oito meses antes da semana pesquisada. Mantida nesta edição, fora do critério de proximidade imediata, por sua utilidade recorrente em litígios patrimoniais entre cônjuges.</w:t>
      </w:r>
    </w:p>
    <w:p w14:paraId="46A715CE" w14:textId="77777777" w:rsidR="00AE1819" w:rsidRDefault="00AE1819">
      <w:pPr>
        <w:pBdr>
          <w:bottom w:val="single" w:sz="2" w:space="1" w:color="D9D9D9"/>
        </w:pBdr>
        <w:spacing w:before="60" w:after="200"/>
      </w:pPr>
    </w:p>
    <w:p w14:paraId="12FC5D0D" w14:textId="77777777" w:rsidR="00AE1819" w:rsidRDefault="00000000">
      <w:pPr>
        <w:pStyle w:val="Ttulo3"/>
        <w:spacing w:before="240" w:after="100"/>
      </w:pPr>
      <w:r>
        <w:rPr>
          <w:b/>
          <w:bCs/>
          <w:color w:val="1F3864"/>
          <w:sz w:val="22"/>
          <w:szCs w:val="22"/>
        </w:rPr>
        <w:t>5. Violência doméstica (Lei Maria da Penha) com repercussão em família</w:t>
      </w:r>
    </w:p>
    <w:p w14:paraId="379F4BC9" w14:textId="77777777" w:rsidR="00AE1819" w:rsidRDefault="00000000">
      <w:pPr>
        <w:spacing w:after="160" w:line="300" w:lineRule="auto"/>
        <w:jc w:val="both"/>
      </w:pPr>
      <w:r>
        <w:rPr>
          <w:sz w:val="21"/>
          <w:szCs w:val="21"/>
        </w:rPr>
        <w:t>Duas notícias institucionais — não jurisdicionais — foram localizadas na semana: o TJSC noticiou, em 25/09/2026, ação educativa sobre violência doméstica e fortalecimento de vínculos em colégio de Criciúma; o TJSP noticiou, também em 25/09/2026, o balanço de um ano do "Projeto Restaurar", de grupos reflexivos com autores de violência doméstica na Comarca de Ribeirão Preto (mais de 290 atendidos em dez grupos, sem descumprimento de medida protetiva registrado no período do balanço). Ambas as notícias têm caráter administrativo e preventivo, sem número de processo, relator ou dispositivo, e por isso não foram classificadas como julgado.</w:t>
      </w:r>
    </w:p>
    <w:p w14:paraId="752B3D40" w14:textId="77777777" w:rsidR="00AE1819" w:rsidRDefault="00000000">
      <w:pPr>
        <w:pStyle w:val="Ttulo3"/>
        <w:spacing w:before="240" w:after="100"/>
      </w:pPr>
      <w:r>
        <w:rPr>
          <w:b/>
          <w:bCs/>
          <w:color w:val="1F3864"/>
          <w:sz w:val="22"/>
          <w:szCs w:val="22"/>
        </w:rPr>
        <w:t>6. Adoção, filiação e socioafetividade</w:t>
      </w:r>
    </w:p>
    <w:p w14:paraId="39F29CE3" w14:textId="77777777" w:rsidR="00AE1819" w:rsidRDefault="00000000">
      <w:pPr>
        <w:spacing w:before="180" w:after="80"/>
      </w:pPr>
      <w:r>
        <w:rPr>
          <w:b/>
          <w:bCs/>
          <w:sz w:val="21"/>
          <w:szCs w:val="21"/>
        </w:rPr>
        <w:t>TJRS mantém paternidade registral e afasta pedido de exoneração fundado em arrependimento tardio</w:t>
      </w:r>
    </w:p>
    <w:p w14:paraId="2B79813D" w14:textId="77777777" w:rsidR="00AE1819" w:rsidRDefault="00000000">
      <w:pPr>
        <w:spacing w:after="40"/>
        <w:ind w:left="200"/>
      </w:pPr>
      <w:r>
        <w:rPr>
          <w:b/>
          <w:bCs/>
        </w:rPr>
        <w:t xml:space="preserve">Tema/categoria: </w:t>
      </w:r>
      <w:r>
        <w:t>Adoção, filiação e socioafetividade</w:t>
      </w:r>
    </w:p>
    <w:p w14:paraId="6F5FD3A7" w14:textId="77777777" w:rsidR="00AE1819" w:rsidRDefault="00000000">
      <w:pPr>
        <w:spacing w:after="40"/>
        <w:ind w:left="200"/>
      </w:pPr>
      <w:r>
        <w:rPr>
          <w:b/>
          <w:bCs/>
        </w:rPr>
        <w:t xml:space="preserve">Tribunal: </w:t>
      </w:r>
      <w:r>
        <w:t>TJRS</w:t>
      </w:r>
    </w:p>
    <w:p w14:paraId="4A47AD58" w14:textId="77777777" w:rsidR="00AE1819" w:rsidRDefault="00000000">
      <w:pPr>
        <w:spacing w:after="40"/>
        <w:ind w:left="200"/>
      </w:pPr>
      <w:r>
        <w:rPr>
          <w:b/>
          <w:bCs/>
        </w:rPr>
        <w:t xml:space="preserve">Órgão julgador: </w:t>
      </w:r>
      <w:r>
        <w:t>8ª Câmara Cível</w:t>
      </w:r>
    </w:p>
    <w:p w14:paraId="3AD1F697" w14:textId="77777777" w:rsidR="00AE1819" w:rsidRDefault="00000000">
      <w:pPr>
        <w:spacing w:after="40"/>
        <w:ind w:left="200"/>
      </w:pPr>
      <w:r>
        <w:rPr>
          <w:b/>
          <w:bCs/>
        </w:rPr>
        <w:t xml:space="preserve">Número do processo: </w:t>
      </w:r>
      <w:r>
        <w:t>Não confirmado — nenhuma das fontes consultadas informou o número; tramitação provavelmente sujeita a sigilo por envolver criança</w:t>
      </w:r>
    </w:p>
    <w:p w14:paraId="23EDCEBB" w14:textId="77777777" w:rsidR="00AE1819" w:rsidRDefault="00000000">
      <w:pPr>
        <w:spacing w:after="40"/>
        <w:ind w:left="200"/>
      </w:pPr>
      <w:r>
        <w:rPr>
          <w:b/>
          <w:bCs/>
        </w:rPr>
        <w:t xml:space="preserve">Classe processual: </w:t>
      </w:r>
      <w:r>
        <w:t>Recurso contra sentença de primeiro grau (classe processual exata não especificada nas fontes consultadas; provável apelação cível)</w:t>
      </w:r>
    </w:p>
    <w:p w14:paraId="7520A789" w14:textId="77777777" w:rsidR="00AE1819" w:rsidRDefault="00000000">
      <w:pPr>
        <w:spacing w:after="40"/>
        <w:ind w:left="200"/>
      </w:pPr>
      <w:r>
        <w:rPr>
          <w:b/>
          <w:bCs/>
        </w:rPr>
        <w:t xml:space="preserve">Data de julgamento/publicação: </w:t>
      </w:r>
      <w:r>
        <w:t>Notícia veiculada em 22/09/2026; data da sessão de julgamento não confirmada</w:t>
      </w:r>
    </w:p>
    <w:p w14:paraId="00C8172D" w14:textId="77777777" w:rsidR="00AE1819" w:rsidRDefault="00000000">
      <w:pPr>
        <w:spacing w:after="40"/>
        <w:ind w:left="200"/>
      </w:pPr>
      <w:r>
        <w:rPr>
          <w:b/>
          <w:bCs/>
        </w:rPr>
        <w:t xml:space="preserve">Relator(a): </w:t>
      </w:r>
      <w:r>
        <w:t xml:space="preserve">Des. Ricardo Moreira Lins </w:t>
      </w:r>
      <w:proofErr w:type="spellStart"/>
      <w:r>
        <w:t>Pastl</w:t>
      </w:r>
      <w:proofErr w:type="spellEnd"/>
      <w:r>
        <w:t xml:space="preserve"> (conforme fontes secundárias do setor registral)</w:t>
      </w:r>
    </w:p>
    <w:p w14:paraId="172DDC1D" w14:textId="77777777" w:rsidR="00AE1819" w:rsidRDefault="00000000">
      <w:pPr>
        <w:spacing w:after="40"/>
        <w:ind w:left="200"/>
      </w:pPr>
      <w:r>
        <w:rPr>
          <w:b/>
          <w:bCs/>
        </w:rPr>
        <w:t xml:space="preserve">Resumo objetivo da controvérsia: </w:t>
      </w:r>
      <w:r>
        <w:t>Pai registral ajuizou ação de negatória de paternidade cumulada com retificação de registro civil e exoneração de alimentos, alegando ausência de vínculo biológico e arrependimento posterior ao reconhecimento voluntário. A sentença de primeiro grau havia acolhido o pedido; o TJRS reformou parcialmente, mantendo a paternidade registral e a obrigação alimentar, e rejeitou o pedido de indenização por danos morais formulado no mesmo feito.</w:t>
      </w:r>
    </w:p>
    <w:p w14:paraId="5561F1F1" w14:textId="77777777" w:rsidR="00AE1819" w:rsidRDefault="00000000">
      <w:pPr>
        <w:spacing w:after="40"/>
        <w:ind w:left="200"/>
      </w:pPr>
      <w:r>
        <w:rPr>
          <w:b/>
          <w:bCs/>
        </w:rPr>
        <w:t xml:space="preserve">Critério específico de relevância: </w:t>
      </w:r>
      <w:r>
        <w:t>Tema de alta recorrência na prática contenciosa — ações de negatória de paternidade e de exoneração de alimentos fundadas em arrependimento tardio do reconhecimento voluntário — com entendimento alinhado ao Tema 622 de repercussão geral do STF e a precedentes consolidados do STJ sobre irrevogabilidade do reconhecimento voluntário de filiação.</w:t>
      </w:r>
    </w:p>
    <w:p w14:paraId="298B92BE" w14:textId="77777777" w:rsidR="00AE1819" w:rsidRDefault="00000000">
      <w:pPr>
        <w:spacing w:after="40"/>
        <w:ind w:left="200"/>
      </w:pPr>
      <w:r>
        <w:rPr>
          <w:b/>
          <w:bCs/>
        </w:rPr>
        <w:t xml:space="preserve">Tese ou entendimento adotado: </w:t>
      </w:r>
      <w:r>
        <w:t>O reconhecimento voluntário de filho constitui ato jurídico irrevogável e irretratável; simples arrependimento posterior, sem prova robusta de vício de consentimento (erro substancial, dolo ou coação) no momento do reconhecimento, não autoriza a desconstituição da paternidade registral nem a exoneração da obrigação alimentar.</w:t>
      </w:r>
    </w:p>
    <w:p w14:paraId="6A893945" w14:textId="77777777" w:rsidR="00AE1819" w:rsidRDefault="00000000">
      <w:pPr>
        <w:spacing w:after="40"/>
        <w:ind w:left="200"/>
      </w:pPr>
      <w:r>
        <w:rPr>
          <w:b/>
          <w:bCs/>
        </w:rPr>
        <w:t xml:space="preserve">Resultado do julgamento: </w:t>
      </w:r>
      <w:r>
        <w:t>Provimento parcial do recurso da parte representante da criança; reforma da sentença de primeiro grau; restabelecidas a paternidade registral e a obrigação alimentar; rejeitado o pedido de indenização por danos morais.</w:t>
      </w:r>
    </w:p>
    <w:p w14:paraId="2D66F963" w14:textId="77777777" w:rsidR="00AE1819" w:rsidRDefault="00000000">
      <w:pPr>
        <w:spacing w:after="40"/>
        <w:ind w:left="200"/>
      </w:pPr>
      <w:r>
        <w:rPr>
          <w:b/>
          <w:bCs/>
        </w:rPr>
        <w:t xml:space="preserve">Impacto prático para o contencioso de família: </w:t>
      </w:r>
      <w:r>
        <w:t>Fortalece a defesa em ações de exoneração de alimentos fundadas em negatória de paternidade tardia; funciona como paradigma para contestações apresentadas no polo da criança ou de seu representante legal.</w:t>
      </w:r>
    </w:p>
    <w:p w14:paraId="627A2554" w14:textId="77777777" w:rsidR="00AE1819" w:rsidRDefault="00000000">
      <w:pPr>
        <w:spacing w:after="40"/>
        <w:ind w:left="200"/>
      </w:pPr>
      <w:r>
        <w:rPr>
          <w:b/>
          <w:bCs/>
        </w:rPr>
        <w:t xml:space="preserve">Teses/argumentos estratégicos derivados: </w:t>
      </w:r>
      <w:r>
        <w:t xml:space="preserve">Para o genitor registral que busca a negatória: reunir prova pericial ou testemunhal de vício de consentimento efetivo — erro essencial, dolo ou coação — no ato do reconhecimento, já que a mera ausência de vínculo biológico tende a não bastar diante deste precedente. Para a criança ou seu representante: </w:t>
      </w:r>
      <w:r>
        <w:lastRenderedPageBreak/>
        <w:t>reforçar a consolidação do vínculo socioafetivo (convivência, tratamento público como filho, afeto) e a voluntariedade e consciência do reconhecimento original, com invocação do Tema 622/STF.</w:t>
      </w:r>
    </w:p>
    <w:p w14:paraId="02F6E39B" w14:textId="77777777" w:rsidR="00AE1819" w:rsidRDefault="00000000">
      <w:pPr>
        <w:spacing w:after="40"/>
        <w:ind w:left="200"/>
      </w:pPr>
      <w:r>
        <w:rPr>
          <w:b/>
          <w:bCs/>
        </w:rPr>
        <w:t xml:space="preserve">Natureza do impacto: </w:t>
      </w:r>
      <w:r>
        <w:t>Material (direito de filiação e obrigação alimentar) e processual (distribuição do ônus da prova para desconstituição de paternidade registral)</w:t>
      </w:r>
    </w:p>
    <w:p w14:paraId="54866DDA" w14:textId="77777777" w:rsidR="00AE1819" w:rsidRDefault="00000000">
      <w:pPr>
        <w:spacing w:after="40"/>
        <w:ind w:left="200"/>
      </w:pPr>
      <w:r>
        <w:rPr>
          <w:b/>
          <w:bCs/>
        </w:rPr>
        <w:t xml:space="preserve">Link oficial: </w:t>
      </w:r>
      <w:r>
        <w:t xml:space="preserve">Não localizado em fonte oficial do TJRS nesta pesquisa. A notícia foi replicada, com dados convergentes de câmara, relator e teor, por quatro veículos do setor de registros civis (Anoreg-RS, </w:t>
      </w:r>
      <w:proofErr w:type="spellStart"/>
      <w:r>
        <w:t>Arpen</w:t>
      </w:r>
      <w:proofErr w:type="spellEnd"/>
      <w:r>
        <w:t xml:space="preserve"> Brasil, </w:t>
      </w:r>
      <w:proofErr w:type="spellStart"/>
      <w:r>
        <w:t>Arpen</w:t>
      </w:r>
      <w:proofErr w:type="spellEnd"/>
      <w:r>
        <w:t xml:space="preserve">-MS, </w:t>
      </w:r>
      <w:proofErr w:type="spellStart"/>
      <w:r>
        <w:t>Sinoreg</w:t>
      </w:r>
      <w:proofErr w:type="spellEnd"/>
      <w:r>
        <w:t>-MG): https://www.sinoregmg.org.br/post/tjrs-mant%C3%A9m-paternidade-registral-e-afasta-anula%C3%A7%C3%A3o-baseada-em-arrependimento-posterior</w:t>
      </w:r>
    </w:p>
    <w:p w14:paraId="4431150C" w14:textId="77777777" w:rsidR="00AE1819" w:rsidRDefault="00000000">
      <w:pPr>
        <w:spacing w:after="160" w:line="300" w:lineRule="auto"/>
        <w:jc w:val="both"/>
      </w:pPr>
      <w:r>
        <w:rPr>
          <w:i/>
          <w:iCs/>
          <w:sz w:val="21"/>
          <w:szCs w:val="21"/>
        </w:rPr>
        <w:t>Observação de confiabilidade: por não ter sido possível confirmar o número do processo e o link oficial diretamente na base de jurisprudência do TJRS nesta pesquisa, recomenda-se localizar o inteiro teor pelo nome das partes ou pela composição indicada antes de citar este julgado em peça processual.</w:t>
      </w:r>
    </w:p>
    <w:p w14:paraId="2A013777" w14:textId="77777777" w:rsidR="00AE1819" w:rsidRDefault="00AE1819">
      <w:pPr>
        <w:pBdr>
          <w:bottom w:val="single" w:sz="2" w:space="1" w:color="D9D9D9"/>
        </w:pBdr>
        <w:spacing w:before="60" w:after="200"/>
      </w:pPr>
    </w:p>
    <w:p w14:paraId="0BB99C5C" w14:textId="77777777" w:rsidR="00AE1819" w:rsidRDefault="00000000">
      <w:pPr>
        <w:pStyle w:val="Ttulo2"/>
        <w:pBdr>
          <w:bottom w:val="single" w:sz="4" w:space="2" w:color="BFBFBF"/>
        </w:pBdr>
        <w:spacing w:before="300" w:after="120"/>
      </w:pPr>
      <w:r>
        <w:rPr>
          <w:b/>
          <w:bCs/>
          <w:color w:val="1F3864"/>
          <w:sz w:val="24"/>
          <w:szCs w:val="24"/>
        </w:rPr>
        <w:t>Artigos e doutrina em destaque na semana</w:t>
      </w:r>
    </w:p>
    <w:p w14:paraId="6AB03DE0" w14:textId="77777777" w:rsidR="00AE1819" w:rsidRDefault="00000000">
      <w:pPr>
        <w:spacing w:before="180" w:after="80"/>
      </w:pPr>
      <w:r>
        <w:rPr>
          <w:b/>
          <w:bCs/>
          <w:sz w:val="21"/>
          <w:szCs w:val="21"/>
        </w:rPr>
        <w:t>TJAC reconhece união estável post mortem entre casal que conviveu por mais de duas décadas</w:t>
      </w:r>
    </w:p>
    <w:p w14:paraId="0642AD05" w14:textId="77777777" w:rsidR="00AE1819" w:rsidRDefault="00000000">
      <w:pPr>
        <w:spacing w:after="40"/>
        <w:ind w:left="200"/>
      </w:pPr>
      <w:r>
        <w:rPr>
          <w:b/>
          <w:bCs/>
        </w:rPr>
        <w:t xml:space="preserve">Veículo: </w:t>
      </w:r>
      <w:r>
        <w:t>IBDFAM (notícia sobre decisão do TJAC)</w:t>
      </w:r>
    </w:p>
    <w:p w14:paraId="46F448D8" w14:textId="77777777" w:rsidR="00AE1819" w:rsidRDefault="00000000">
      <w:pPr>
        <w:spacing w:after="40"/>
        <w:ind w:left="200"/>
      </w:pPr>
      <w:r>
        <w:rPr>
          <w:b/>
          <w:bCs/>
        </w:rPr>
        <w:t xml:space="preserve">Autor(es): </w:t>
      </w:r>
      <w:r>
        <w:t>Não identificado — conferir no link (matéria institucional do IBDFAM)</w:t>
      </w:r>
    </w:p>
    <w:p w14:paraId="249B70DE" w14:textId="77777777" w:rsidR="00AE1819" w:rsidRDefault="00000000">
      <w:pPr>
        <w:spacing w:after="40"/>
        <w:ind w:left="200"/>
      </w:pPr>
      <w:r>
        <w:rPr>
          <w:b/>
          <w:bCs/>
        </w:rPr>
        <w:t xml:space="preserve">Data de publicação: </w:t>
      </w:r>
      <w:r>
        <w:t>25/09/2026 (matéria do IBDFAM); decisão original divulgada pelo TJAC em 24/09/2026</w:t>
      </w:r>
    </w:p>
    <w:p w14:paraId="7A45CBC9" w14:textId="77777777" w:rsidR="00AE1819" w:rsidRDefault="00000000">
      <w:pPr>
        <w:spacing w:after="40"/>
        <w:ind w:left="200"/>
      </w:pPr>
      <w:r>
        <w:rPr>
          <w:b/>
          <w:bCs/>
        </w:rPr>
        <w:t xml:space="preserve">Resumo objetivo: </w:t>
      </w:r>
      <w:r>
        <w:t>A 2ª Câmara Cível do TJAC manteve, por unanimidade, o reconhecimento de união estável post mortem com base em certidão de óbito que já constava o companheiro, procuração pública outorgada em vida e depoimento de familiar sobre o convívio como cônjuges.</w:t>
      </w:r>
    </w:p>
    <w:p w14:paraId="62A7E7BC" w14:textId="77777777" w:rsidR="00AE1819" w:rsidRDefault="00000000">
      <w:pPr>
        <w:spacing w:after="40"/>
        <w:ind w:left="200"/>
      </w:pPr>
      <w:r>
        <w:rPr>
          <w:b/>
          <w:bCs/>
        </w:rPr>
        <w:t xml:space="preserve">Relevância prática: </w:t>
      </w:r>
      <w:r>
        <w:t>Consolida critérios probatórios para reconhecimento post mortem de união estável — combinação de documentos formais e prova testemunhal qualificada de familiar —, tema recorrente em inventários e ações de reconhecimento post mortem.</w:t>
      </w:r>
    </w:p>
    <w:p w14:paraId="5E72121A" w14:textId="77777777" w:rsidR="00AE1819" w:rsidRDefault="00000000">
      <w:pPr>
        <w:spacing w:after="40"/>
        <w:ind w:left="200"/>
      </w:pPr>
      <w:r>
        <w:rPr>
          <w:b/>
          <w:bCs/>
        </w:rPr>
        <w:t xml:space="preserve">Link: </w:t>
      </w:r>
      <w:r>
        <w:t>https://ibdfam.org.br/noticias/14274/</w:t>
      </w:r>
    </w:p>
    <w:p w14:paraId="592D647B" w14:textId="77777777" w:rsidR="00AE1819" w:rsidRDefault="00AE1819">
      <w:pPr>
        <w:pBdr>
          <w:bottom w:val="single" w:sz="2" w:space="1" w:color="D9D9D9"/>
        </w:pBdr>
        <w:spacing w:before="60" w:after="200"/>
      </w:pPr>
    </w:p>
    <w:p w14:paraId="3D74B83F" w14:textId="77777777" w:rsidR="00AE1819" w:rsidRDefault="00000000">
      <w:pPr>
        <w:spacing w:before="180" w:after="80"/>
      </w:pPr>
      <w:r>
        <w:rPr>
          <w:b/>
          <w:bCs/>
          <w:sz w:val="21"/>
          <w:szCs w:val="21"/>
        </w:rPr>
        <w:t>O que a Argentina e as uniões estáveis homoafetivas ensinam sobre os novos rumos do Direito das Famílias?</w:t>
      </w:r>
    </w:p>
    <w:p w14:paraId="41CD2280" w14:textId="77777777" w:rsidR="00AE1819" w:rsidRDefault="00000000">
      <w:pPr>
        <w:spacing w:after="40"/>
        <w:ind w:left="200"/>
      </w:pPr>
      <w:r>
        <w:rPr>
          <w:b/>
          <w:bCs/>
        </w:rPr>
        <w:t xml:space="preserve">Veículo: </w:t>
      </w:r>
      <w:r>
        <w:t>Revista IBDFAM</w:t>
      </w:r>
    </w:p>
    <w:p w14:paraId="75B16BA1" w14:textId="77777777" w:rsidR="00AE1819" w:rsidRDefault="00000000">
      <w:pPr>
        <w:spacing w:after="40"/>
        <w:ind w:left="200"/>
      </w:pPr>
      <w:r>
        <w:rPr>
          <w:b/>
          <w:bCs/>
        </w:rPr>
        <w:t xml:space="preserve">Autor(es): </w:t>
      </w:r>
      <w:r>
        <w:t>Não identificado — conferir no link</w:t>
      </w:r>
    </w:p>
    <w:p w14:paraId="327AE53E" w14:textId="77777777" w:rsidR="00AE1819" w:rsidRDefault="00000000">
      <w:pPr>
        <w:spacing w:after="40"/>
        <w:ind w:left="200"/>
      </w:pPr>
      <w:r>
        <w:rPr>
          <w:b/>
          <w:bCs/>
        </w:rPr>
        <w:t xml:space="preserve">Data de publicação: </w:t>
      </w:r>
      <w:r>
        <w:t>23/09/2026</w:t>
      </w:r>
    </w:p>
    <w:p w14:paraId="2FB948C7" w14:textId="77777777" w:rsidR="00AE1819" w:rsidRDefault="00000000">
      <w:pPr>
        <w:spacing w:after="40"/>
        <w:ind w:left="200"/>
      </w:pPr>
      <w:r>
        <w:rPr>
          <w:b/>
          <w:bCs/>
        </w:rPr>
        <w:t xml:space="preserve">Resumo objetivo: </w:t>
      </w:r>
      <w:r>
        <w:t>Análise em direito comparado (Argentina e Brasil) sobre o reconhecimento jurídico de uniões estáveis homoafetivas.</w:t>
      </w:r>
    </w:p>
    <w:p w14:paraId="7229B82E" w14:textId="77777777" w:rsidR="00AE1819" w:rsidRDefault="00000000">
      <w:pPr>
        <w:spacing w:after="40"/>
        <w:ind w:left="200"/>
      </w:pPr>
      <w:r>
        <w:rPr>
          <w:b/>
          <w:bCs/>
        </w:rPr>
        <w:t xml:space="preserve">Relevância prática: </w:t>
      </w:r>
      <w:r>
        <w:t>Tema prioritário (união estável); direito comparado pode subsidiar argumentação doutrinária em casos de reconhecimento de união homoafetiva.</w:t>
      </w:r>
    </w:p>
    <w:p w14:paraId="458BBE43" w14:textId="77777777" w:rsidR="00AE1819" w:rsidRDefault="00000000">
      <w:pPr>
        <w:spacing w:after="40"/>
        <w:ind w:left="200"/>
      </w:pPr>
      <w:r>
        <w:rPr>
          <w:b/>
          <w:bCs/>
        </w:rPr>
        <w:t xml:space="preserve">Link: </w:t>
      </w:r>
      <w:r>
        <w:t>https://ibdfam.org.br/noticias/14270/</w:t>
      </w:r>
    </w:p>
    <w:p w14:paraId="1D0EEC6E" w14:textId="77777777" w:rsidR="00AE1819" w:rsidRDefault="00000000">
      <w:pPr>
        <w:spacing w:after="160" w:line="300" w:lineRule="auto"/>
        <w:jc w:val="both"/>
      </w:pPr>
      <w:r>
        <w:rPr>
          <w:i/>
          <w:iCs/>
          <w:sz w:val="21"/>
          <w:szCs w:val="21"/>
        </w:rPr>
        <w:t>O acesso ao conteúdo integral não foi possível nesta pesquisa; resumo baseado no título. Recomenda-se conferência direta antes de citação em peça.</w:t>
      </w:r>
    </w:p>
    <w:p w14:paraId="6090F480" w14:textId="77777777" w:rsidR="00AE1819" w:rsidRDefault="00AE1819">
      <w:pPr>
        <w:pBdr>
          <w:bottom w:val="single" w:sz="2" w:space="1" w:color="D9D9D9"/>
        </w:pBdr>
        <w:spacing w:before="60" w:after="200"/>
      </w:pPr>
    </w:p>
    <w:p w14:paraId="3400C9B6" w14:textId="77777777" w:rsidR="00AE1819" w:rsidRDefault="00000000">
      <w:pPr>
        <w:spacing w:before="180" w:after="80"/>
      </w:pPr>
      <w:r>
        <w:rPr>
          <w:b/>
          <w:bCs/>
          <w:sz w:val="21"/>
          <w:szCs w:val="21"/>
        </w:rPr>
        <w:t>IBDFAM propõe ao CNJ novo tratamento para averbações de autoridade parental em certidões</w:t>
      </w:r>
    </w:p>
    <w:p w14:paraId="1D472496" w14:textId="77777777" w:rsidR="00AE1819" w:rsidRDefault="00000000">
      <w:pPr>
        <w:spacing w:after="40"/>
        <w:ind w:left="200"/>
      </w:pPr>
      <w:r>
        <w:rPr>
          <w:b/>
          <w:bCs/>
        </w:rPr>
        <w:t xml:space="preserve">Veículo: </w:t>
      </w:r>
      <w:r>
        <w:t>IBDFAM (notícia institucional)</w:t>
      </w:r>
    </w:p>
    <w:p w14:paraId="4D533D52" w14:textId="77777777" w:rsidR="00AE1819" w:rsidRDefault="00000000">
      <w:pPr>
        <w:spacing w:after="40"/>
        <w:ind w:left="200"/>
      </w:pPr>
      <w:r>
        <w:rPr>
          <w:b/>
          <w:bCs/>
        </w:rPr>
        <w:t xml:space="preserve">Autor(es): </w:t>
      </w:r>
      <w:r>
        <w:t>Não identificado — conferir no link</w:t>
      </w:r>
    </w:p>
    <w:p w14:paraId="0D6460CA" w14:textId="77777777" w:rsidR="00AE1819" w:rsidRDefault="00000000">
      <w:pPr>
        <w:spacing w:after="40"/>
        <w:ind w:left="200"/>
      </w:pPr>
      <w:r>
        <w:rPr>
          <w:b/>
          <w:bCs/>
        </w:rPr>
        <w:t xml:space="preserve">Data de publicação: </w:t>
      </w:r>
      <w:r>
        <w:t>25/09/2026</w:t>
      </w:r>
    </w:p>
    <w:p w14:paraId="5EE1CB5F" w14:textId="77777777" w:rsidR="00AE1819" w:rsidRDefault="00000000">
      <w:pPr>
        <w:spacing w:after="40"/>
        <w:ind w:left="200"/>
      </w:pPr>
      <w:r>
        <w:rPr>
          <w:b/>
          <w:bCs/>
        </w:rPr>
        <w:t xml:space="preserve">Resumo objetivo: </w:t>
      </w:r>
      <w:r>
        <w:t>O IBDFAM apresentou ao CNJ proposta sobre a forma de averbação da autoridade parental (poder familiar) em certidões de registro civil.</w:t>
      </w:r>
    </w:p>
    <w:p w14:paraId="1743D8E0" w14:textId="77777777" w:rsidR="00AE1819" w:rsidRDefault="00000000">
      <w:pPr>
        <w:spacing w:after="40"/>
        <w:ind w:left="200"/>
      </w:pPr>
      <w:r>
        <w:rPr>
          <w:b/>
          <w:bCs/>
        </w:rPr>
        <w:t xml:space="preserve">Relevância prática: </w:t>
      </w:r>
      <w:r>
        <w:t>Tema prioritário (guarda e autoridade parental); potencial impacto direto em procedimentos de averbação decorrentes de sentenças de guarda, de destituição ou suspensão do poder familiar e de adoção.</w:t>
      </w:r>
    </w:p>
    <w:p w14:paraId="20E3C94B" w14:textId="77777777" w:rsidR="00AE1819" w:rsidRDefault="00000000">
      <w:pPr>
        <w:spacing w:after="40"/>
        <w:ind w:left="200"/>
      </w:pPr>
      <w:r>
        <w:rPr>
          <w:b/>
          <w:bCs/>
        </w:rPr>
        <w:t xml:space="preserve">Link: </w:t>
      </w:r>
      <w:r>
        <w:t>https://ibdfam.org.br/noticias/14269/</w:t>
      </w:r>
    </w:p>
    <w:p w14:paraId="5DADF366" w14:textId="77777777" w:rsidR="00AE1819" w:rsidRDefault="00000000">
      <w:pPr>
        <w:spacing w:after="160" w:line="300" w:lineRule="auto"/>
        <w:jc w:val="both"/>
      </w:pPr>
      <w:r>
        <w:rPr>
          <w:i/>
          <w:iCs/>
          <w:sz w:val="21"/>
          <w:szCs w:val="21"/>
        </w:rPr>
        <w:lastRenderedPageBreak/>
        <w:t>O acesso ao conteúdo integral não foi possível nesta pesquisa; resumo baseado no título. Recomenda-se conferência direta antes de citação em peça.</w:t>
      </w:r>
    </w:p>
    <w:p w14:paraId="755F6FE3" w14:textId="77777777" w:rsidR="00AE1819" w:rsidRDefault="00AE1819">
      <w:pPr>
        <w:pBdr>
          <w:bottom w:val="single" w:sz="2" w:space="1" w:color="D9D9D9"/>
        </w:pBdr>
        <w:spacing w:before="60" w:after="200"/>
      </w:pPr>
    </w:p>
    <w:p w14:paraId="69543D84" w14:textId="77777777" w:rsidR="00AE1819" w:rsidRDefault="00000000">
      <w:pPr>
        <w:spacing w:before="180" w:after="80"/>
      </w:pPr>
      <w:r>
        <w:rPr>
          <w:b/>
          <w:bCs/>
          <w:sz w:val="21"/>
          <w:szCs w:val="21"/>
        </w:rPr>
        <w:t>A prevalência do vínculo socioafetivo sobre o biológico nas relações de filiação</w:t>
      </w:r>
    </w:p>
    <w:p w14:paraId="5FC8DA13" w14:textId="77777777" w:rsidR="00AE1819" w:rsidRDefault="00000000">
      <w:pPr>
        <w:spacing w:after="40"/>
        <w:ind w:left="200"/>
      </w:pPr>
      <w:r>
        <w:rPr>
          <w:b/>
          <w:bCs/>
        </w:rPr>
        <w:t xml:space="preserve">Veículo: </w:t>
      </w:r>
      <w:r>
        <w:t>IBDFAM (artigo doutrinário)</w:t>
      </w:r>
    </w:p>
    <w:p w14:paraId="37630509" w14:textId="77777777" w:rsidR="00AE1819" w:rsidRDefault="00000000">
      <w:pPr>
        <w:spacing w:after="40"/>
        <w:ind w:left="200"/>
      </w:pPr>
      <w:r>
        <w:rPr>
          <w:b/>
          <w:bCs/>
        </w:rPr>
        <w:t xml:space="preserve">Autor(es): </w:t>
      </w:r>
      <w:proofErr w:type="spellStart"/>
      <w:r>
        <w:t>Mayza</w:t>
      </w:r>
      <w:proofErr w:type="spellEnd"/>
      <w:r>
        <w:t xml:space="preserve"> Nayara dos Santos Rocha; Camila Izabel de Andrade</w:t>
      </w:r>
    </w:p>
    <w:p w14:paraId="6CC506F4" w14:textId="77777777" w:rsidR="00AE1819" w:rsidRDefault="00000000">
      <w:pPr>
        <w:spacing w:after="40"/>
        <w:ind w:left="200"/>
      </w:pPr>
      <w:r>
        <w:rPr>
          <w:b/>
          <w:bCs/>
        </w:rPr>
        <w:t xml:space="preserve">Data de publicação: </w:t>
      </w:r>
      <w:r>
        <w:t>24/09/2026</w:t>
      </w:r>
    </w:p>
    <w:p w14:paraId="5DA8B2EE" w14:textId="77777777" w:rsidR="00AE1819" w:rsidRDefault="00000000">
      <w:pPr>
        <w:spacing w:after="40"/>
        <w:ind w:left="200"/>
      </w:pPr>
      <w:r>
        <w:rPr>
          <w:b/>
          <w:bCs/>
        </w:rPr>
        <w:t xml:space="preserve">Resumo objetivo: </w:t>
      </w:r>
      <w:r>
        <w:t>O artigo examina a prevalência da afetividade sobre a origem genética nas relações de filiação a partir da Constituição de 1988, com a posse do estado de filho (nome, trato e fama) como elemento caracterizador do vínculo socioafetivo, e sustenta que a filiação socioafetiva produz efeitos jurídicos equivalentes aos da filiação biológica, inclusive sucessórios e alimentares.</w:t>
      </w:r>
    </w:p>
    <w:p w14:paraId="2BE52AB4" w14:textId="77777777" w:rsidR="00AE1819" w:rsidRDefault="00000000">
      <w:pPr>
        <w:spacing w:after="40"/>
        <w:ind w:left="200"/>
      </w:pPr>
      <w:r>
        <w:rPr>
          <w:b/>
          <w:bCs/>
        </w:rPr>
        <w:t xml:space="preserve">Relevância prática: </w:t>
      </w:r>
      <w:r>
        <w:t>Fundamenta teses em disputas de multiparentalidade e em ações de reconhecimento ou impugnação de paternidade com reflexos em obrigação alimentar e sucessória — tema correlato ao julgado do TJRS desta edição.</w:t>
      </w:r>
    </w:p>
    <w:p w14:paraId="11A417DB" w14:textId="77777777" w:rsidR="00AE1819" w:rsidRDefault="00000000">
      <w:pPr>
        <w:spacing w:after="40"/>
        <w:ind w:left="200"/>
      </w:pPr>
      <w:r>
        <w:rPr>
          <w:b/>
          <w:bCs/>
        </w:rPr>
        <w:t xml:space="preserve">Link: </w:t>
      </w:r>
      <w:r>
        <w:t>https://ibdfam.org.br/artigos/2688/</w:t>
      </w:r>
    </w:p>
    <w:p w14:paraId="5F33E594" w14:textId="77777777" w:rsidR="00AE1819" w:rsidRDefault="00AE1819">
      <w:pPr>
        <w:pBdr>
          <w:bottom w:val="single" w:sz="2" w:space="1" w:color="D9D9D9"/>
        </w:pBdr>
        <w:spacing w:before="60" w:after="200"/>
      </w:pPr>
    </w:p>
    <w:p w14:paraId="64FB415F" w14:textId="77777777" w:rsidR="00AE1819" w:rsidRDefault="00000000">
      <w:pPr>
        <w:spacing w:before="180" w:after="80"/>
      </w:pPr>
      <w:r>
        <w:rPr>
          <w:b/>
          <w:bCs/>
          <w:sz w:val="21"/>
          <w:szCs w:val="21"/>
        </w:rPr>
        <w:t>Quando a vítima se torna ré</w:t>
      </w:r>
    </w:p>
    <w:p w14:paraId="1607B4DA" w14:textId="77777777" w:rsidR="00AE1819" w:rsidRDefault="00000000">
      <w:pPr>
        <w:spacing w:after="40"/>
        <w:ind w:left="200"/>
      </w:pPr>
      <w:r>
        <w:rPr>
          <w:b/>
          <w:bCs/>
        </w:rPr>
        <w:t xml:space="preserve">Veículo: </w:t>
      </w:r>
      <w:r>
        <w:t>IBDFAM (artigo doutrinário)</w:t>
      </w:r>
    </w:p>
    <w:p w14:paraId="40B1D2C8" w14:textId="77777777" w:rsidR="00AE1819" w:rsidRDefault="00000000">
      <w:pPr>
        <w:spacing w:after="40"/>
        <w:ind w:left="200"/>
      </w:pPr>
      <w:r>
        <w:rPr>
          <w:b/>
          <w:bCs/>
        </w:rPr>
        <w:t xml:space="preserve">Autor(es): </w:t>
      </w:r>
      <w:r>
        <w:t>Eduardo Cambi</w:t>
      </w:r>
    </w:p>
    <w:p w14:paraId="00F0165B" w14:textId="77777777" w:rsidR="00AE1819" w:rsidRDefault="00000000">
      <w:pPr>
        <w:spacing w:after="40"/>
        <w:ind w:left="200"/>
      </w:pPr>
      <w:r>
        <w:rPr>
          <w:b/>
          <w:bCs/>
        </w:rPr>
        <w:t xml:space="preserve">Data de publicação: </w:t>
      </w:r>
      <w:r>
        <w:t>22/09/2026</w:t>
      </w:r>
    </w:p>
    <w:p w14:paraId="1596506B" w14:textId="77777777" w:rsidR="00AE1819" w:rsidRDefault="00000000">
      <w:pPr>
        <w:spacing w:after="40"/>
        <w:ind w:left="200"/>
      </w:pPr>
      <w:r>
        <w:rPr>
          <w:b/>
          <w:bCs/>
        </w:rPr>
        <w:t xml:space="preserve">Resumo objetivo: </w:t>
      </w:r>
      <w:r>
        <w:t>O autor analisa como a culpabilização da vítima de violência doméstica contamina decisões em processos de família, deslocando o foco probatório da conduta do agressor para a reação da mulher, e defende a perspectiva de gênero como método interpretativo — não como preferência —, com reconhecimento do controle coercitivo como fator que impede o rompimento imediato do vínculo abusivo.</w:t>
      </w:r>
    </w:p>
    <w:p w14:paraId="4297C48E" w14:textId="77777777" w:rsidR="00AE1819" w:rsidRDefault="00000000">
      <w:pPr>
        <w:spacing w:after="40"/>
        <w:ind w:left="200"/>
      </w:pPr>
      <w:r>
        <w:rPr>
          <w:b/>
          <w:bCs/>
        </w:rPr>
        <w:t xml:space="preserve">Relevância prática: </w:t>
      </w:r>
      <w:r>
        <w:t>Repercute diretamente em processos de guarda e fixação de alimentos com pano de fundo de violência doméstica, inclusive quanto a critérios probatórios a adotar em audiências e perícias.</w:t>
      </w:r>
    </w:p>
    <w:p w14:paraId="535C5CF4" w14:textId="77777777" w:rsidR="00AE1819" w:rsidRDefault="00000000">
      <w:pPr>
        <w:spacing w:after="40"/>
        <w:ind w:left="200"/>
      </w:pPr>
      <w:r>
        <w:rPr>
          <w:b/>
          <w:bCs/>
        </w:rPr>
        <w:t xml:space="preserve">Link: </w:t>
      </w:r>
      <w:r>
        <w:t>https://ibdfam.org.br/artigos/2687/</w:t>
      </w:r>
    </w:p>
    <w:p w14:paraId="1966EB3D" w14:textId="77777777" w:rsidR="00AE1819" w:rsidRDefault="00AE1819">
      <w:pPr>
        <w:pBdr>
          <w:bottom w:val="single" w:sz="2" w:space="1" w:color="D9D9D9"/>
        </w:pBdr>
        <w:spacing w:before="60" w:after="200"/>
      </w:pPr>
    </w:p>
    <w:p w14:paraId="1C5B3A89" w14:textId="77777777" w:rsidR="00AE1819" w:rsidRDefault="00000000">
      <w:pPr>
        <w:spacing w:before="180" w:after="80"/>
      </w:pPr>
      <w:r>
        <w:rPr>
          <w:b/>
          <w:bCs/>
          <w:sz w:val="21"/>
          <w:szCs w:val="21"/>
        </w:rPr>
        <w:t>A ruptura e a conveniência: o direito brasileiro entre a pacificação e o colapso</w:t>
      </w:r>
    </w:p>
    <w:p w14:paraId="72E15629" w14:textId="77777777" w:rsidR="00AE1819" w:rsidRDefault="00000000">
      <w:pPr>
        <w:spacing w:after="40"/>
        <w:ind w:left="200"/>
      </w:pPr>
      <w:r>
        <w:rPr>
          <w:b/>
          <w:bCs/>
        </w:rPr>
        <w:t xml:space="preserve">Veículo: </w:t>
      </w:r>
      <w:r>
        <w:t>IBDFAM (artigo doutrinário)</w:t>
      </w:r>
    </w:p>
    <w:p w14:paraId="49B34C2B" w14:textId="77777777" w:rsidR="00AE1819" w:rsidRDefault="00000000">
      <w:pPr>
        <w:spacing w:after="40"/>
        <w:ind w:left="200"/>
      </w:pPr>
      <w:r>
        <w:rPr>
          <w:b/>
          <w:bCs/>
        </w:rPr>
        <w:t xml:space="preserve">Autor(es): </w:t>
      </w:r>
      <w:r>
        <w:t>Alan Duarte Villas Boas</w:t>
      </w:r>
    </w:p>
    <w:p w14:paraId="7E7DEF66" w14:textId="77777777" w:rsidR="00AE1819" w:rsidRDefault="00000000">
      <w:pPr>
        <w:spacing w:after="40"/>
        <w:ind w:left="200"/>
      </w:pPr>
      <w:r>
        <w:rPr>
          <w:b/>
          <w:bCs/>
        </w:rPr>
        <w:t xml:space="preserve">Data de publicação: </w:t>
      </w:r>
      <w:r>
        <w:t>21/09/2026</w:t>
      </w:r>
    </w:p>
    <w:p w14:paraId="40561DD5" w14:textId="77777777" w:rsidR="00AE1819" w:rsidRDefault="00000000">
      <w:pPr>
        <w:spacing w:after="40"/>
        <w:ind w:left="200"/>
      </w:pPr>
      <w:r>
        <w:rPr>
          <w:b/>
          <w:bCs/>
        </w:rPr>
        <w:t xml:space="preserve">Resumo objetivo: </w:t>
      </w:r>
      <w:r>
        <w:t>Artigo sobre mecanismos de resolução de conflitos — consensuais e litigiosos — no direito brasileiro, com aparente foco em rupturas familiares.</w:t>
      </w:r>
    </w:p>
    <w:p w14:paraId="42C33EEF" w14:textId="77777777" w:rsidR="00AE1819" w:rsidRDefault="00000000">
      <w:pPr>
        <w:spacing w:after="40"/>
        <w:ind w:left="200"/>
      </w:pPr>
      <w:r>
        <w:rPr>
          <w:b/>
          <w:bCs/>
        </w:rPr>
        <w:t xml:space="preserve">Relevância prática: </w:t>
      </w:r>
      <w:r>
        <w:t>Relevância prática não confirmada com precisão nesta pesquisa; recomenda-se checagem direta do conteúdo antes de uso.</w:t>
      </w:r>
    </w:p>
    <w:p w14:paraId="57522666" w14:textId="77777777" w:rsidR="00AE1819" w:rsidRDefault="00000000">
      <w:pPr>
        <w:spacing w:after="40"/>
        <w:ind w:left="200"/>
      </w:pPr>
      <w:r>
        <w:rPr>
          <w:b/>
          <w:bCs/>
        </w:rPr>
        <w:t xml:space="preserve">Link: </w:t>
      </w:r>
      <w:r>
        <w:t>https://ibdfam.org.br/artigos/2686/</w:t>
      </w:r>
    </w:p>
    <w:p w14:paraId="0597ED27" w14:textId="77777777" w:rsidR="00AE1819" w:rsidRDefault="00000000">
      <w:pPr>
        <w:spacing w:after="160" w:line="300" w:lineRule="auto"/>
        <w:jc w:val="both"/>
      </w:pPr>
      <w:r>
        <w:rPr>
          <w:i/>
          <w:iCs/>
          <w:sz w:val="21"/>
          <w:szCs w:val="21"/>
        </w:rPr>
        <w:t>O acesso ao conteúdo integral não foi possível nesta pesquisa; resumo baseado no título.</w:t>
      </w:r>
    </w:p>
    <w:p w14:paraId="30719955" w14:textId="77777777" w:rsidR="00AE1819" w:rsidRDefault="00AE1819">
      <w:pPr>
        <w:pBdr>
          <w:bottom w:val="single" w:sz="2" w:space="1" w:color="D9D9D9"/>
        </w:pBdr>
        <w:spacing w:before="60" w:after="200"/>
      </w:pPr>
    </w:p>
    <w:p w14:paraId="11141325" w14:textId="77777777" w:rsidR="00AE1819" w:rsidRDefault="00000000">
      <w:pPr>
        <w:spacing w:before="180" w:after="80"/>
      </w:pPr>
      <w:r>
        <w:rPr>
          <w:b/>
          <w:bCs/>
          <w:sz w:val="21"/>
          <w:szCs w:val="21"/>
        </w:rPr>
        <w:t>O tempo e a coragem de pensar</w:t>
      </w:r>
    </w:p>
    <w:p w14:paraId="4A2F2DEF" w14:textId="77777777" w:rsidR="00AE1819" w:rsidRDefault="00000000">
      <w:pPr>
        <w:spacing w:after="40"/>
        <w:ind w:left="200"/>
      </w:pPr>
      <w:r>
        <w:rPr>
          <w:b/>
          <w:bCs/>
        </w:rPr>
        <w:t xml:space="preserve">Veículo: </w:t>
      </w:r>
      <w:r>
        <w:t>IBDFAM (artigo doutrinário)</w:t>
      </w:r>
    </w:p>
    <w:p w14:paraId="0F020C35" w14:textId="77777777" w:rsidR="00AE1819" w:rsidRDefault="00000000">
      <w:pPr>
        <w:spacing w:after="40"/>
        <w:ind w:left="200"/>
      </w:pPr>
      <w:r>
        <w:rPr>
          <w:b/>
          <w:bCs/>
        </w:rPr>
        <w:t xml:space="preserve">Autor(es): </w:t>
      </w:r>
      <w:r>
        <w:t>Jones Figueiredo Alves</w:t>
      </w:r>
    </w:p>
    <w:p w14:paraId="5C9B13AF" w14:textId="77777777" w:rsidR="00AE1819" w:rsidRDefault="00000000">
      <w:pPr>
        <w:spacing w:after="40"/>
        <w:ind w:left="200"/>
      </w:pPr>
      <w:r>
        <w:rPr>
          <w:b/>
          <w:bCs/>
        </w:rPr>
        <w:t xml:space="preserve">Data de publicação: </w:t>
      </w:r>
      <w:r>
        <w:t>21/09/2026</w:t>
      </w:r>
    </w:p>
    <w:p w14:paraId="444F16E3" w14:textId="77777777" w:rsidR="00AE1819" w:rsidRDefault="00000000">
      <w:pPr>
        <w:spacing w:after="40"/>
        <w:ind w:left="200"/>
      </w:pPr>
      <w:r>
        <w:rPr>
          <w:b/>
          <w:bCs/>
        </w:rPr>
        <w:t xml:space="preserve">Resumo objetivo: </w:t>
      </w:r>
      <w:r>
        <w:t>Conteúdo não confirmado nesta pesquisa — acesso à página integral não obtido.</w:t>
      </w:r>
    </w:p>
    <w:p w14:paraId="292DD50A" w14:textId="77777777" w:rsidR="00AE1819" w:rsidRDefault="00000000">
      <w:pPr>
        <w:spacing w:after="40"/>
        <w:ind w:left="200"/>
      </w:pPr>
      <w:r>
        <w:rPr>
          <w:b/>
          <w:bCs/>
        </w:rPr>
        <w:t xml:space="preserve">Relevância prática: </w:t>
      </w:r>
      <w:r>
        <w:t>Não confirmada nesta pesquisa; autor de referência do IBDFAM. Recomenda-se checagem direta antes de uso.</w:t>
      </w:r>
    </w:p>
    <w:p w14:paraId="5E529A8D" w14:textId="77777777" w:rsidR="00AE1819" w:rsidRDefault="00000000">
      <w:pPr>
        <w:spacing w:after="40"/>
        <w:ind w:left="200"/>
      </w:pPr>
      <w:r>
        <w:rPr>
          <w:b/>
          <w:bCs/>
        </w:rPr>
        <w:t xml:space="preserve">Link: </w:t>
      </w:r>
      <w:r>
        <w:t>https://ibdfam.org.br/artigos/2685/</w:t>
      </w:r>
    </w:p>
    <w:p w14:paraId="21FFFCB9" w14:textId="77777777" w:rsidR="00AE1819" w:rsidRDefault="00000000">
      <w:pPr>
        <w:spacing w:after="160" w:line="300" w:lineRule="auto"/>
        <w:jc w:val="both"/>
      </w:pPr>
      <w:r>
        <w:rPr>
          <w:i/>
          <w:iCs/>
          <w:sz w:val="21"/>
          <w:szCs w:val="21"/>
        </w:rPr>
        <w:t>Incluído por prudência editorial (autoria de referência), mas sem resumo verificado. Confirmar teor antes de citar.</w:t>
      </w:r>
    </w:p>
    <w:p w14:paraId="748F1574" w14:textId="77777777" w:rsidR="00AE1819" w:rsidRDefault="00AE1819">
      <w:pPr>
        <w:pBdr>
          <w:bottom w:val="single" w:sz="2" w:space="1" w:color="D9D9D9"/>
        </w:pBdr>
        <w:spacing w:before="60" w:after="200"/>
      </w:pPr>
    </w:p>
    <w:p w14:paraId="3036F196" w14:textId="77777777" w:rsidR="00AE1819" w:rsidRDefault="00000000">
      <w:pPr>
        <w:spacing w:before="180" w:after="80"/>
      </w:pPr>
      <w:r>
        <w:rPr>
          <w:b/>
          <w:bCs/>
          <w:sz w:val="21"/>
          <w:szCs w:val="21"/>
        </w:rPr>
        <w:t>Uma década de convivência valida união estável homoafetiva (fora do período estrito — decisão de comarca de Santa Catarina)</w:t>
      </w:r>
    </w:p>
    <w:p w14:paraId="46DED771" w14:textId="77777777" w:rsidR="00AE1819" w:rsidRDefault="00000000">
      <w:pPr>
        <w:spacing w:after="40"/>
        <w:ind w:left="200"/>
      </w:pPr>
      <w:r>
        <w:rPr>
          <w:b/>
          <w:bCs/>
        </w:rPr>
        <w:t xml:space="preserve">Veículo: </w:t>
      </w:r>
      <w:r>
        <w:t>Conjur</w:t>
      </w:r>
    </w:p>
    <w:p w14:paraId="6DFBDC9F" w14:textId="77777777" w:rsidR="00AE1819" w:rsidRDefault="00000000">
      <w:pPr>
        <w:spacing w:after="40"/>
        <w:ind w:left="200"/>
      </w:pPr>
      <w:r>
        <w:rPr>
          <w:b/>
          <w:bCs/>
        </w:rPr>
        <w:t xml:space="preserve">Autor(es): </w:t>
      </w:r>
      <w:r>
        <w:t>Não confirmado (primeiro nome identificado como "Giovanna"; sobrenome não confirmado — conferir no link)</w:t>
      </w:r>
    </w:p>
    <w:p w14:paraId="724BA00B" w14:textId="77777777" w:rsidR="00AE1819" w:rsidRDefault="00000000">
      <w:pPr>
        <w:spacing w:after="40"/>
        <w:ind w:left="200"/>
      </w:pPr>
      <w:r>
        <w:rPr>
          <w:b/>
          <w:bCs/>
        </w:rPr>
        <w:t xml:space="preserve">Data de publicação: </w:t>
      </w:r>
      <w:r>
        <w:t>10/09/2026</w:t>
      </w:r>
    </w:p>
    <w:p w14:paraId="5A47AF92" w14:textId="77777777" w:rsidR="00AE1819" w:rsidRDefault="00000000">
      <w:pPr>
        <w:spacing w:after="40"/>
        <w:ind w:left="200"/>
      </w:pPr>
      <w:r>
        <w:rPr>
          <w:b/>
          <w:bCs/>
        </w:rPr>
        <w:t xml:space="preserve">Resumo objetivo: </w:t>
      </w:r>
      <w:r>
        <w:t>A 1ª Vara da Comarca de Penha (SC) reconheceu união estável homoafetiva entre dois homens, com convivência de outubro de 2007 a janeiro de 2017, determinou a partilha de bens e rejeitou pedidos de litigância de má-fé de ambas as partes, com fundamentação baseada em fotografias de eventos familiares e mensagens de afeto e planejamento de vida em comum.</w:t>
      </w:r>
    </w:p>
    <w:p w14:paraId="0B274B56" w14:textId="77777777" w:rsidR="00AE1819" w:rsidRDefault="00000000">
      <w:pPr>
        <w:spacing w:after="40"/>
        <w:ind w:left="200"/>
      </w:pPr>
      <w:r>
        <w:rPr>
          <w:b/>
          <w:bCs/>
        </w:rPr>
        <w:t xml:space="preserve">Relevância prática: </w:t>
      </w:r>
      <w:r>
        <w:t>Tema prioritário (união estável homoafetiva) decidido em comarca catarinense — uso imediato para a atuação do escritório em Florianópolis/SC, tanto pela jurisdição quanto pelos critérios probatórios admitidos.</w:t>
      </w:r>
    </w:p>
    <w:p w14:paraId="7D81C6CE" w14:textId="77777777" w:rsidR="00AE1819" w:rsidRDefault="00000000">
      <w:pPr>
        <w:spacing w:after="40"/>
        <w:ind w:left="200"/>
      </w:pPr>
      <w:r>
        <w:rPr>
          <w:b/>
          <w:bCs/>
        </w:rPr>
        <w:t xml:space="preserve">Link: </w:t>
      </w:r>
      <w:r>
        <w:t>https://conjur.com.br/2026-set-10/analise-sobre-uma-decada-de-convivencia-valida-uniao-estavel-homoafetiva/</w:t>
      </w:r>
    </w:p>
    <w:p w14:paraId="76B4BF40" w14:textId="77777777" w:rsidR="00AE1819" w:rsidRDefault="00000000">
      <w:pPr>
        <w:spacing w:after="160" w:line="300" w:lineRule="auto"/>
        <w:jc w:val="both"/>
      </w:pPr>
      <w:r>
        <w:rPr>
          <w:i/>
          <w:iCs/>
          <w:sz w:val="21"/>
          <w:szCs w:val="21"/>
        </w:rPr>
        <w:t>Sinalização expressa: publicação de 10/09/2026, portanto anterior ao período de 21 a 27/09/2026. Mantida nesta edição por sua relevância direta e imediata para a comarca de atuação do escritório.</w:t>
      </w:r>
    </w:p>
    <w:p w14:paraId="0F19E22E" w14:textId="77777777" w:rsidR="00AE1819" w:rsidRDefault="00AE1819">
      <w:pPr>
        <w:pBdr>
          <w:bottom w:val="single" w:sz="2" w:space="1" w:color="D9D9D9"/>
        </w:pBdr>
        <w:spacing w:before="60" w:after="200"/>
      </w:pPr>
    </w:p>
    <w:p w14:paraId="6F06AFC9" w14:textId="43885AD1" w:rsidR="00AE1819" w:rsidRDefault="00000000">
      <w:pPr>
        <w:pStyle w:val="Ttulo2"/>
        <w:pBdr>
          <w:bottom w:val="single" w:sz="4" w:space="2" w:color="BFBFBF"/>
        </w:pBdr>
        <w:spacing w:before="300" w:after="120"/>
      </w:pPr>
      <w:r>
        <w:rPr>
          <w:b/>
          <w:bCs/>
          <w:color w:val="1F3864"/>
          <w:sz w:val="24"/>
          <w:szCs w:val="24"/>
        </w:rPr>
        <w:t>Síntese da semana</w:t>
      </w:r>
    </w:p>
    <w:p w14:paraId="6E92B13F" w14:textId="77777777" w:rsidR="00AE1819" w:rsidRDefault="00000000">
      <w:pPr>
        <w:pStyle w:val="Ttulo3"/>
        <w:spacing w:before="240" w:after="100"/>
      </w:pPr>
      <w:r>
        <w:rPr>
          <w:b/>
          <w:bCs/>
          <w:color w:val="1F3864"/>
          <w:sz w:val="22"/>
          <w:szCs w:val="22"/>
        </w:rPr>
        <w:t>Entendimentos mais relevantes identificados</w:t>
      </w:r>
    </w:p>
    <w:p w14:paraId="0CA6A837" w14:textId="5D6F0D04" w:rsidR="00AE1819" w:rsidRDefault="00770E12">
      <w:pPr>
        <w:spacing w:after="160" w:line="300" w:lineRule="auto"/>
        <w:jc w:val="both"/>
      </w:pPr>
      <w:r>
        <w:rPr>
          <w:sz w:val="21"/>
          <w:szCs w:val="21"/>
        </w:rPr>
        <w:t>A</w:t>
      </w:r>
      <w:r w:rsidR="00000000">
        <w:rPr>
          <w:sz w:val="21"/>
          <w:szCs w:val="21"/>
        </w:rPr>
        <w:t xml:space="preserve"> manutenção da paternidade registral pelo TJRS diante de arrependimento tardio do reconhecimento voluntário — reforça, em linha com o Tema 622 de repercussão geral do STF, a exigência de prova robusta de vício de consentimento para desconstituir filiação já reconhecida, o que eleva o ônus probatório de quem pretende a negatória e fortalece a posição defensiva da criança ou de seu representante em ações dessa natureza.</w:t>
      </w:r>
    </w:p>
    <w:p w14:paraId="708FEFDD" w14:textId="77777777" w:rsidR="00AE1819" w:rsidRDefault="00000000">
      <w:pPr>
        <w:pStyle w:val="Ttulo3"/>
        <w:spacing w:before="240" w:after="100"/>
      </w:pPr>
      <w:r>
        <w:rPr>
          <w:b/>
          <w:bCs/>
          <w:color w:val="1F3864"/>
          <w:sz w:val="22"/>
          <w:szCs w:val="22"/>
        </w:rPr>
        <w:t>Tendências jurisprudenciais por tema (guarda, alienação parental, alimentos e união estável)</w:t>
      </w:r>
    </w:p>
    <w:p w14:paraId="5CF1DFBA" w14:textId="085327F3" w:rsidR="00AE1819" w:rsidRDefault="00000000">
      <w:pPr>
        <w:spacing w:after="160" w:line="300" w:lineRule="auto"/>
        <w:jc w:val="both"/>
      </w:pPr>
      <w:r>
        <w:rPr>
          <w:sz w:val="21"/>
          <w:szCs w:val="21"/>
        </w:rPr>
        <w:t>O movimento observável no período é doutrinário e institucional: a proposta do IBDFAM ao CNJ sobre averbação da autoridade parental (tema guarda) e o artigo de Eduardo Cambi sobre culpabilização da vítima em processos de família com pano de fundo de violência doméstica (tema com repercussão direta em guarda e alimentos) indicam pontos de atenção a monitorar nas próximas semanas, não tendência jurisprudencial já consolidada.</w:t>
      </w:r>
    </w:p>
    <w:p w14:paraId="607E2EC4" w14:textId="77777777" w:rsidR="00AE1819" w:rsidRDefault="00000000">
      <w:pPr>
        <w:pStyle w:val="Ttulo3"/>
        <w:spacing w:before="240" w:after="100"/>
      </w:pPr>
      <w:r>
        <w:rPr>
          <w:b/>
          <w:bCs/>
          <w:color w:val="1F3864"/>
          <w:sz w:val="22"/>
          <w:szCs w:val="22"/>
        </w:rPr>
        <w:t>Pontos de atenção para petições iniciais, contestações, recursos ou acordos</w:t>
      </w:r>
    </w:p>
    <w:p w14:paraId="63D4FEC6" w14:textId="77777777" w:rsidR="00AE1819" w:rsidRDefault="00000000">
      <w:pPr>
        <w:spacing w:after="160" w:line="300" w:lineRule="auto"/>
        <w:jc w:val="both"/>
      </w:pPr>
      <w:r>
        <w:rPr>
          <w:sz w:val="21"/>
          <w:szCs w:val="21"/>
        </w:rPr>
        <w:t>Em ações de negatória de paternidade com pedido cumulado de exoneração de alimentos, a linha do TJRS desta edição recomenda instruir a petição inicial — quando no polo do genitor registral — com prova concreta de vício de consentimento no ato do reconhecimento, e não apenas exame de DNA negativo. Em execuções de alimentos com histórico de inadimplência persistente, o precedente de contexto do TJSC recomenda documentar tentativas anteriores de constrição patrimonial antes de requerer medidas atípicas cumulativas, para atender ao critério de subsidiariedade. Em litígios patrimoniais concomitantes a dívidas do casal, o segundo precedente de contexto do TJSC recomenda reunir, desde a petição inicial ou a impugnação ao cumprimento de sentença, indícios de simulação em transferências patrimoniais recentes ao cônjuge ou companheiro.</w:t>
      </w:r>
    </w:p>
    <w:p w14:paraId="7D3EEF82" w14:textId="77777777" w:rsidR="00AE1819" w:rsidRDefault="00000000">
      <w:pPr>
        <w:pStyle w:val="Ttulo3"/>
        <w:spacing w:before="240" w:after="100"/>
      </w:pPr>
      <w:r>
        <w:rPr>
          <w:b/>
          <w:bCs/>
          <w:color w:val="1F3864"/>
          <w:sz w:val="22"/>
          <w:szCs w:val="22"/>
        </w:rPr>
        <w:t>Novidades legislativas ou institucionais com impacto no direito de família</w:t>
      </w:r>
    </w:p>
    <w:p w14:paraId="7277388C" w14:textId="77777777" w:rsidR="00AE1819" w:rsidRDefault="00000000">
      <w:pPr>
        <w:spacing w:after="160" w:line="300" w:lineRule="auto"/>
        <w:jc w:val="both"/>
      </w:pPr>
      <w:r>
        <w:rPr>
          <w:sz w:val="21"/>
          <w:szCs w:val="21"/>
        </w:rPr>
        <w:t>Registra-se a proposta apresentada pelo IBDFAM ao CNJ sobre o tratamento das averbações de autoridade parental em certidões de registro civil (25/09/2026), cujo teor completo não foi confirmado nesta pesquisa. Recomenda-se acompanhamento da tramitação dessa proposta no CNJ, por seu potencial impacto em procedimentos de averbação decorrentes de sentenças de guarda, destituição ou suspensão do poder familiar.</w:t>
      </w:r>
    </w:p>
    <w:p w14:paraId="3FAF824D" w14:textId="77777777" w:rsidR="00AE1819" w:rsidRDefault="00AE1819">
      <w:pPr>
        <w:sectPr w:rsidR="00AE1819">
          <w:pgSz w:w="12240" w:h="15840"/>
          <w:pgMar w:top="1000" w:right="1100" w:bottom="1000" w:left="1100" w:header="708" w:footer="708" w:gutter="0"/>
          <w:cols w:space="720"/>
          <w:docGrid w:linePitch="360"/>
        </w:sectPr>
      </w:pPr>
    </w:p>
    <w:p w14:paraId="4B26AAD9" w14:textId="77777777" w:rsidR="00AE1819" w:rsidRDefault="00000000">
      <w:pPr>
        <w:pStyle w:val="Ttulo2"/>
        <w:pBdr>
          <w:bottom w:val="single" w:sz="4" w:space="2" w:color="BFBFBF"/>
        </w:pBdr>
        <w:spacing w:before="300" w:after="120"/>
      </w:pPr>
      <w:r>
        <w:rPr>
          <w:b/>
          <w:bCs/>
          <w:color w:val="1F3864"/>
          <w:sz w:val="24"/>
          <w:szCs w:val="24"/>
        </w:rPr>
        <w:lastRenderedPageBreak/>
        <w:t>Quadro comparativo final</w:t>
      </w:r>
    </w:p>
    <w:tbl>
      <w:tblPr>
        <w:tblW w:w="14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0"/>
        <w:gridCol w:w="1800"/>
        <w:gridCol w:w="1600"/>
        <w:gridCol w:w="2800"/>
        <w:gridCol w:w="1800"/>
        <w:gridCol w:w="1200"/>
        <w:gridCol w:w="2200"/>
        <w:gridCol w:w="2000"/>
      </w:tblGrid>
      <w:tr w:rsidR="00AE1819" w14:paraId="2101DDF6" w14:textId="77777777">
        <w:tblPrEx>
          <w:tblCellMar>
            <w:top w:w="0" w:type="dxa"/>
            <w:bottom w:w="0" w:type="dxa"/>
          </w:tblCellMar>
        </w:tblPrEx>
        <w:trPr>
          <w:tblHeader/>
        </w:trPr>
        <w:tc>
          <w:tcPr>
            <w:tcW w:w="1000" w:type="dxa"/>
            <w:shd w:val="clear" w:color="auto" w:fill="1F3864"/>
            <w:tcMar>
              <w:top w:w="80" w:type="dxa"/>
              <w:left w:w="100" w:type="dxa"/>
              <w:bottom w:w="80" w:type="dxa"/>
              <w:right w:w="100" w:type="dxa"/>
            </w:tcMar>
            <w:vAlign w:val="center"/>
          </w:tcPr>
          <w:p w14:paraId="25752FBC" w14:textId="77777777" w:rsidR="00AE1819" w:rsidRDefault="00000000">
            <w:r>
              <w:rPr>
                <w:b/>
                <w:bCs/>
                <w:color w:val="FFFFFF"/>
                <w:sz w:val="17"/>
                <w:szCs w:val="17"/>
              </w:rPr>
              <w:t>Tribunal</w:t>
            </w:r>
          </w:p>
        </w:tc>
        <w:tc>
          <w:tcPr>
            <w:tcW w:w="1800" w:type="dxa"/>
            <w:shd w:val="clear" w:color="auto" w:fill="1F3864"/>
            <w:tcMar>
              <w:top w:w="80" w:type="dxa"/>
              <w:left w:w="100" w:type="dxa"/>
              <w:bottom w:w="80" w:type="dxa"/>
              <w:right w:w="100" w:type="dxa"/>
            </w:tcMar>
            <w:vAlign w:val="center"/>
          </w:tcPr>
          <w:p w14:paraId="1BB4FE2A" w14:textId="77777777" w:rsidR="00AE1819" w:rsidRDefault="00000000">
            <w:r>
              <w:rPr>
                <w:b/>
                <w:bCs/>
                <w:color w:val="FFFFFF"/>
                <w:sz w:val="17"/>
                <w:szCs w:val="17"/>
              </w:rPr>
              <w:t>Processo/referência</w:t>
            </w:r>
          </w:p>
        </w:tc>
        <w:tc>
          <w:tcPr>
            <w:tcW w:w="1600" w:type="dxa"/>
            <w:shd w:val="clear" w:color="auto" w:fill="1F3864"/>
            <w:tcMar>
              <w:top w:w="80" w:type="dxa"/>
              <w:left w:w="100" w:type="dxa"/>
              <w:bottom w:w="80" w:type="dxa"/>
              <w:right w:w="100" w:type="dxa"/>
            </w:tcMar>
            <w:vAlign w:val="center"/>
          </w:tcPr>
          <w:p w14:paraId="098753F3" w14:textId="77777777" w:rsidR="00AE1819" w:rsidRDefault="00000000">
            <w:r>
              <w:rPr>
                <w:b/>
                <w:bCs/>
                <w:color w:val="FFFFFF"/>
                <w:sz w:val="17"/>
                <w:szCs w:val="17"/>
              </w:rPr>
              <w:t>Tema</w:t>
            </w:r>
          </w:p>
        </w:tc>
        <w:tc>
          <w:tcPr>
            <w:tcW w:w="2800" w:type="dxa"/>
            <w:shd w:val="clear" w:color="auto" w:fill="1F3864"/>
            <w:tcMar>
              <w:top w:w="80" w:type="dxa"/>
              <w:left w:w="100" w:type="dxa"/>
              <w:bottom w:w="80" w:type="dxa"/>
              <w:right w:w="100" w:type="dxa"/>
            </w:tcMar>
            <w:vAlign w:val="center"/>
          </w:tcPr>
          <w:p w14:paraId="27AC37B8" w14:textId="77777777" w:rsidR="00AE1819" w:rsidRDefault="00000000">
            <w:r>
              <w:rPr>
                <w:b/>
                <w:bCs/>
                <w:color w:val="FFFFFF"/>
                <w:sz w:val="17"/>
                <w:szCs w:val="17"/>
              </w:rPr>
              <w:t>Entendimento central</w:t>
            </w:r>
          </w:p>
        </w:tc>
        <w:tc>
          <w:tcPr>
            <w:tcW w:w="1800" w:type="dxa"/>
            <w:shd w:val="clear" w:color="auto" w:fill="1F3864"/>
            <w:tcMar>
              <w:top w:w="80" w:type="dxa"/>
              <w:left w:w="100" w:type="dxa"/>
              <w:bottom w:w="80" w:type="dxa"/>
              <w:right w:w="100" w:type="dxa"/>
            </w:tcMar>
            <w:vAlign w:val="center"/>
          </w:tcPr>
          <w:p w14:paraId="14E2484A" w14:textId="77777777" w:rsidR="00AE1819" w:rsidRDefault="00000000">
            <w:r>
              <w:rPr>
                <w:b/>
                <w:bCs/>
                <w:color w:val="FFFFFF"/>
                <w:sz w:val="17"/>
                <w:szCs w:val="17"/>
              </w:rPr>
              <w:t>Critério de relevância</w:t>
            </w:r>
          </w:p>
        </w:tc>
        <w:tc>
          <w:tcPr>
            <w:tcW w:w="1200" w:type="dxa"/>
            <w:shd w:val="clear" w:color="auto" w:fill="1F3864"/>
            <w:tcMar>
              <w:top w:w="80" w:type="dxa"/>
              <w:left w:w="100" w:type="dxa"/>
              <w:bottom w:w="80" w:type="dxa"/>
              <w:right w:w="100" w:type="dxa"/>
            </w:tcMar>
            <w:vAlign w:val="center"/>
          </w:tcPr>
          <w:p w14:paraId="47FC0C6F" w14:textId="77777777" w:rsidR="00AE1819" w:rsidRDefault="00000000">
            <w:r>
              <w:rPr>
                <w:b/>
                <w:bCs/>
                <w:color w:val="FFFFFF"/>
                <w:sz w:val="17"/>
                <w:szCs w:val="17"/>
              </w:rPr>
              <w:t>Natureza do impacto</w:t>
            </w:r>
          </w:p>
        </w:tc>
        <w:tc>
          <w:tcPr>
            <w:tcW w:w="2200" w:type="dxa"/>
            <w:shd w:val="clear" w:color="auto" w:fill="1F3864"/>
            <w:tcMar>
              <w:top w:w="80" w:type="dxa"/>
              <w:left w:w="100" w:type="dxa"/>
              <w:bottom w:w="80" w:type="dxa"/>
              <w:right w:w="100" w:type="dxa"/>
            </w:tcMar>
            <w:vAlign w:val="center"/>
          </w:tcPr>
          <w:p w14:paraId="2B75D817" w14:textId="77777777" w:rsidR="00AE1819" w:rsidRDefault="00000000">
            <w:r>
              <w:rPr>
                <w:b/>
                <w:bCs/>
                <w:color w:val="FFFFFF"/>
                <w:sz w:val="17"/>
                <w:szCs w:val="17"/>
              </w:rPr>
              <w:t>Impacto prático</w:t>
            </w:r>
          </w:p>
        </w:tc>
        <w:tc>
          <w:tcPr>
            <w:tcW w:w="2000" w:type="dxa"/>
            <w:shd w:val="clear" w:color="auto" w:fill="1F3864"/>
            <w:tcMar>
              <w:top w:w="80" w:type="dxa"/>
              <w:left w:w="100" w:type="dxa"/>
              <w:bottom w:w="80" w:type="dxa"/>
              <w:right w:w="100" w:type="dxa"/>
            </w:tcMar>
            <w:vAlign w:val="center"/>
          </w:tcPr>
          <w:p w14:paraId="62EFB50F" w14:textId="77777777" w:rsidR="00AE1819" w:rsidRDefault="00000000">
            <w:r>
              <w:rPr>
                <w:b/>
                <w:bCs/>
                <w:color w:val="FFFFFF"/>
                <w:sz w:val="17"/>
                <w:szCs w:val="17"/>
              </w:rPr>
              <w:t>Tese/argumento estratégico</w:t>
            </w:r>
          </w:p>
        </w:tc>
      </w:tr>
      <w:tr w:rsidR="00AE1819" w14:paraId="58AE4E61" w14:textId="77777777">
        <w:tblPrEx>
          <w:tblCellMar>
            <w:top w:w="0" w:type="dxa"/>
            <w:bottom w:w="0" w:type="dxa"/>
          </w:tblCellMar>
        </w:tblPrEx>
        <w:tc>
          <w:tcPr>
            <w:tcW w:w="1000" w:type="dxa"/>
            <w:tcMar>
              <w:top w:w="80" w:type="dxa"/>
              <w:left w:w="100" w:type="dxa"/>
              <w:bottom w:w="80" w:type="dxa"/>
              <w:right w:w="100" w:type="dxa"/>
            </w:tcMar>
            <w:vAlign w:val="center"/>
          </w:tcPr>
          <w:p w14:paraId="5FACF437" w14:textId="77777777" w:rsidR="00AE1819" w:rsidRDefault="00000000">
            <w:r>
              <w:rPr>
                <w:color w:val="000000"/>
                <w:sz w:val="17"/>
                <w:szCs w:val="17"/>
              </w:rPr>
              <w:t>TJRS</w:t>
            </w:r>
          </w:p>
        </w:tc>
        <w:tc>
          <w:tcPr>
            <w:tcW w:w="1800" w:type="dxa"/>
            <w:tcMar>
              <w:top w:w="80" w:type="dxa"/>
              <w:left w:w="100" w:type="dxa"/>
              <w:bottom w:w="80" w:type="dxa"/>
              <w:right w:w="100" w:type="dxa"/>
            </w:tcMar>
            <w:vAlign w:val="center"/>
          </w:tcPr>
          <w:p w14:paraId="0921D79F" w14:textId="77777777" w:rsidR="00AE1819" w:rsidRDefault="00000000">
            <w:r>
              <w:rPr>
                <w:color w:val="000000"/>
                <w:sz w:val="17"/>
                <w:szCs w:val="17"/>
              </w:rPr>
              <w:t>Não confirmado (ver nota no corpo do boletim)</w:t>
            </w:r>
          </w:p>
        </w:tc>
        <w:tc>
          <w:tcPr>
            <w:tcW w:w="1600" w:type="dxa"/>
            <w:tcMar>
              <w:top w:w="80" w:type="dxa"/>
              <w:left w:w="100" w:type="dxa"/>
              <w:bottom w:w="80" w:type="dxa"/>
              <w:right w:w="100" w:type="dxa"/>
            </w:tcMar>
            <w:vAlign w:val="center"/>
          </w:tcPr>
          <w:p w14:paraId="7259A8FA" w14:textId="77777777" w:rsidR="00AE1819" w:rsidRDefault="00000000">
            <w:r>
              <w:rPr>
                <w:color w:val="000000"/>
                <w:sz w:val="17"/>
                <w:szCs w:val="17"/>
              </w:rPr>
              <w:t>Adoção, filiação e socioafetividade</w:t>
            </w:r>
          </w:p>
        </w:tc>
        <w:tc>
          <w:tcPr>
            <w:tcW w:w="2800" w:type="dxa"/>
            <w:tcMar>
              <w:top w:w="80" w:type="dxa"/>
              <w:left w:w="100" w:type="dxa"/>
              <w:bottom w:w="80" w:type="dxa"/>
              <w:right w:w="100" w:type="dxa"/>
            </w:tcMar>
            <w:vAlign w:val="center"/>
          </w:tcPr>
          <w:p w14:paraId="74B48431" w14:textId="77777777" w:rsidR="00AE1819" w:rsidRDefault="00000000">
            <w:r>
              <w:rPr>
                <w:color w:val="000000"/>
                <w:sz w:val="17"/>
                <w:szCs w:val="17"/>
              </w:rPr>
              <w:t>Reconhecimento voluntário de paternidade é irrevogável salvo vício de consentimento robusto; mero arrependimento não basta.</w:t>
            </w:r>
          </w:p>
        </w:tc>
        <w:tc>
          <w:tcPr>
            <w:tcW w:w="1800" w:type="dxa"/>
            <w:tcMar>
              <w:top w:w="80" w:type="dxa"/>
              <w:left w:w="100" w:type="dxa"/>
              <w:bottom w:w="80" w:type="dxa"/>
              <w:right w:w="100" w:type="dxa"/>
            </w:tcMar>
            <w:vAlign w:val="center"/>
          </w:tcPr>
          <w:p w14:paraId="4C4031ED" w14:textId="77777777" w:rsidR="00AE1819" w:rsidRDefault="00000000">
            <w:r>
              <w:rPr>
                <w:color w:val="000000"/>
                <w:sz w:val="17"/>
                <w:szCs w:val="17"/>
              </w:rPr>
              <w:t>Segurança jurídica do vínculo registral; uso recorrente em negatórias de paternidade tardias.</w:t>
            </w:r>
          </w:p>
        </w:tc>
        <w:tc>
          <w:tcPr>
            <w:tcW w:w="1200" w:type="dxa"/>
            <w:tcMar>
              <w:top w:w="80" w:type="dxa"/>
              <w:left w:w="100" w:type="dxa"/>
              <w:bottom w:w="80" w:type="dxa"/>
              <w:right w:w="100" w:type="dxa"/>
            </w:tcMar>
            <w:vAlign w:val="center"/>
          </w:tcPr>
          <w:p w14:paraId="55C8411D" w14:textId="77777777" w:rsidR="00AE1819" w:rsidRDefault="00000000">
            <w:r>
              <w:rPr>
                <w:color w:val="000000"/>
                <w:sz w:val="17"/>
                <w:szCs w:val="17"/>
              </w:rPr>
              <w:t>Material e processual</w:t>
            </w:r>
          </w:p>
        </w:tc>
        <w:tc>
          <w:tcPr>
            <w:tcW w:w="2200" w:type="dxa"/>
            <w:tcMar>
              <w:top w:w="80" w:type="dxa"/>
              <w:left w:w="100" w:type="dxa"/>
              <w:bottom w:w="80" w:type="dxa"/>
              <w:right w:w="100" w:type="dxa"/>
            </w:tcMar>
            <w:vAlign w:val="center"/>
          </w:tcPr>
          <w:p w14:paraId="7E76E493" w14:textId="77777777" w:rsidR="00AE1819" w:rsidRDefault="00000000">
            <w:r>
              <w:rPr>
                <w:color w:val="000000"/>
                <w:sz w:val="17"/>
                <w:szCs w:val="17"/>
              </w:rPr>
              <w:t>Fortalece a defesa contra exoneração de alimentos fundada em arrependimento tardio do reconhecimento.</w:t>
            </w:r>
          </w:p>
        </w:tc>
        <w:tc>
          <w:tcPr>
            <w:tcW w:w="2000" w:type="dxa"/>
            <w:tcMar>
              <w:top w:w="80" w:type="dxa"/>
              <w:left w:w="100" w:type="dxa"/>
              <w:bottom w:w="80" w:type="dxa"/>
              <w:right w:w="100" w:type="dxa"/>
            </w:tcMar>
            <w:vAlign w:val="center"/>
          </w:tcPr>
          <w:p w14:paraId="322BE2F3" w14:textId="77777777" w:rsidR="00AE1819" w:rsidRDefault="00000000">
            <w:r>
              <w:rPr>
                <w:color w:val="000000"/>
                <w:sz w:val="17"/>
                <w:szCs w:val="17"/>
              </w:rPr>
              <w:t>Criança/representante: consolidação do vínculo socioafetivo. Genitor: provar vício de consentimento efetivo.</w:t>
            </w:r>
          </w:p>
        </w:tc>
      </w:tr>
      <w:tr w:rsidR="00AE1819" w14:paraId="68A05D7C" w14:textId="77777777">
        <w:tblPrEx>
          <w:tblCellMar>
            <w:top w:w="0" w:type="dxa"/>
            <w:bottom w:w="0" w:type="dxa"/>
          </w:tblCellMar>
        </w:tblPrEx>
        <w:tc>
          <w:tcPr>
            <w:tcW w:w="1000" w:type="dxa"/>
            <w:tcMar>
              <w:top w:w="80" w:type="dxa"/>
              <w:left w:w="100" w:type="dxa"/>
              <w:bottom w:w="80" w:type="dxa"/>
              <w:right w:w="100" w:type="dxa"/>
            </w:tcMar>
            <w:vAlign w:val="center"/>
          </w:tcPr>
          <w:p w14:paraId="3201D1BB" w14:textId="77777777" w:rsidR="00AE1819" w:rsidRDefault="00000000">
            <w:r>
              <w:rPr>
                <w:color w:val="000000"/>
                <w:sz w:val="17"/>
                <w:szCs w:val="17"/>
              </w:rPr>
              <w:t xml:space="preserve">TJSC (contexto — notícia de </w:t>
            </w:r>
            <w:proofErr w:type="spellStart"/>
            <w:r>
              <w:rPr>
                <w:color w:val="000000"/>
                <w:sz w:val="17"/>
                <w:szCs w:val="17"/>
              </w:rPr>
              <w:t>abr</w:t>
            </w:r>
            <w:proofErr w:type="spellEnd"/>
            <w:r>
              <w:rPr>
                <w:color w:val="000000"/>
                <w:sz w:val="17"/>
                <w:szCs w:val="17"/>
              </w:rPr>
              <w:t>/2026, fora do período)</w:t>
            </w:r>
          </w:p>
        </w:tc>
        <w:tc>
          <w:tcPr>
            <w:tcW w:w="1800" w:type="dxa"/>
            <w:tcMar>
              <w:top w:w="80" w:type="dxa"/>
              <w:left w:w="100" w:type="dxa"/>
              <w:bottom w:w="80" w:type="dxa"/>
              <w:right w:w="100" w:type="dxa"/>
            </w:tcMar>
            <w:vAlign w:val="center"/>
          </w:tcPr>
          <w:p w14:paraId="0AD7BB65" w14:textId="77777777" w:rsidR="00AE1819" w:rsidRDefault="00000000">
            <w:r>
              <w:rPr>
                <w:color w:val="000000"/>
                <w:sz w:val="17"/>
                <w:szCs w:val="17"/>
              </w:rPr>
              <w:t>Segredo de justiça</w:t>
            </w:r>
          </w:p>
        </w:tc>
        <w:tc>
          <w:tcPr>
            <w:tcW w:w="1600" w:type="dxa"/>
            <w:tcMar>
              <w:top w:w="80" w:type="dxa"/>
              <w:left w:w="100" w:type="dxa"/>
              <w:bottom w:w="80" w:type="dxa"/>
              <w:right w:w="100" w:type="dxa"/>
            </w:tcMar>
            <w:vAlign w:val="center"/>
          </w:tcPr>
          <w:p w14:paraId="113CB79C" w14:textId="77777777" w:rsidR="00AE1819" w:rsidRDefault="00000000">
            <w:r>
              <w:rPr>
                <w:color w:val="000000"/>
                <w:sz w:val="17"/>
                <w:szCs w:val="17"/>
              </w:rPr>
              <w:t>Pensão alimentícia — execução</w:t>
            </w:r>
          </w:p>
        </w:tc>
        <w:tc>
          <w:tcPr>
            <w:tcW w:w="2800" w:type="dxa"/>
            <w:tcMar>
              <w:top w:w="80" w:type="dxa"/>
              <w:left w:w="100" w:type="dxa"/>
              <w:bottom w:w="80" w:type="dxa"/>
              <w:right w:w="100" w:type="dxa"/>
            </w:tcMar>
            <w:vAlign w:val="center"/>
          </w:tcPr>
          <w:p w14:paraId="615C8BB3" w14:textId="77777777" w:rsidR="00AE1819" w:rsidRDefault="00000000">
            <w:r>
              <w:rPr>
                <w:color w:val="000000"/>
                <w:sz w:val="17"/>
                <w:szCs w:val="17"/>
              </w:rPr>
              <w:t>Medidas atípicas (suspensão de CNH, bloqueio de cartões) cabíveis, observadas subsidiariedade e proporcionalidade.</w:t>
            </w:r>
          </w:p>
        </w:tc>
        <w:tc>
          <w:tcPr>
            <w:tcW w:w="1800" w:type="dxa"/>
            <w:tcMar>
              <w:top w:w="80" w:type="dxa"/>
              <w:left w:w="100" w:type="dxa"/>
              <w:bottom w:w="80" w:type="dxa"/>
              <w:right w:w="100" w:type="dxa"/>
            </w:tcMar>
            <w:vAlign w:val="center"/>
          </w:tcPr>
          <w:p w14:paraId="36683C6D" w14:textId="77777777" w:rsidR="00AE1819" w:rsidRDefault="00000000">
            <w:r>
              <w:rPr>
                <w:color w:val="000000"/>
                <w:sz w:val="17"/>
                <w:szCs w:val="17"/>
              </w:rPr>
              <w:t>Aplicação do Tema 1137/STJ; uso recorrente em execuções de alimentos inadimplidas.</w:t>
            </w:r>
          </w:p>
        </w:tc>
        <w:tc>
          <w:tcPr>
            <w:tcW w:w="1200" w:type="dxa"/>
            <w:tcMar>
              <w:top w:w="80" w:type="dxa"/>
              <w:left w:w="100" w:type="dxa"/>
              <w:bottom w:w="80" w:type="dxa"/>
              <w:right w:w="100" w:type="dxa"/>
            </w:tcMar>
            <w:vAlign w:val="center"/>
          </w:tcPr>
          <w:p w14:paraId="57E2F8BD" w14:textId="77777777" w:rsidR="00AE1819" w:rsidRDefault="00000000">
            <w:r>
              <w:rPr>
                <w:color w:val="000000"/>
                <w:sz w:val="17"/>
                <w:szCs w:val="17"/>
              </w:rPr>
              <w:t>Processual</w:t>
            </w:r>
          </w:p>
        </w:tc>
        <w:tc>
          <w:tcPr>
            <w:tcW w:w="2200" w:type="dxa"/>
            <w:tcMar>
              <w:top w:w="80" w:type="dxa"/>
              <w:left w:w="100" w:type="dxa"/>
              <w:bottom w:w="80" w:type="dxa"/>
              <w:right w:w="100" w:type="dxa"/>
            </w:tcMar>
            <w:vAlign w:val="center"/>
          </w:tcPr>
          <w:p w14:paraId="396D4E04" w14:textId="77777777" w:rsidR="00AE1819" w:rsidRDefault="00000000">
            <w:r>
              <w:rPr>
                <w:color w:val="000000"/>
                <w:sz w:val="17"/>
                <w:szCs w:val="17"/>
              </w:rPr>
              <w:t>Reforça viabilidade de medidas atípicas cumulativas em execução de alimentos.</w:t>
            </w:r>
          </w:p>
        </w:tc>
        <w:tc>
          <w:tcPr>
            <w:tcW w:w="2000" w:type="dxa"/>
            <w:tcMar>
              <w:top w:w="80" w:type="dxa"/>
              <w:left w:w="100" w:type="dxa"/>
              <w:bottom w:w="80" w:type="dxa"/>
              <w:right w:w="100" w:type="dxa"/>
            </w:tcMar>
            <w:vAlign w:val="center"/>
          </w:tcPr>
          <w:p w14:paraId="3156C3C0" w14:textId="77777777" w:rsidR="00AE1819" w:rsidRDefault="00000000">
            <w:r>
              <w:rPr>
                <w:color w:val="000000"/>
                <w:sz w:val="17"/>
                <w:szCs w:val="17"/>
              </w:rPr>
              <w:t>Credor: histórico de constrições frustradas. Devedor: prova robusta de incapacidade financeira.</w:t>
            </w:r>
          </w:p>
        </w:tc>
      </w:tr>
      <w:tr w:rsidR="00AE1819" w14:paraId="3D27D174" w14:textId="77777777">
        <w:tblPrEx>
          <w:tblCellMar>
            <w:top w:w="0" w:type="dxa"/>
            <w:bottom w:w="0" w:type="dxa"/>
          </w:tblCellMar>
        </w:tblPrEx>
        <w:tc>
          <w:tcPr>
            <w:tcW w:w="1000" w:type="dxa"/>
            <w:tcMar>
              <w:top w:w="80" w:type="dxa"/>
              <w:left w:w="100" w:type="dxa"/>
              <w:bottom w:w="80" w:type="dxa"/>
              <w:right w:w="100" w:type="dxa"/>
            </w:tcMar>
            <w:vAlign w:val="center"/>
          </w:tcPr>
          <w:p w14:paraId="6B2F5BD9" w14:textId="77777777" w:rsidR="00AE1819" w:rsidRDefault="00000000">
            <w:r>
              <w:rPr>
                <w:color w:val="000000"/>
                <w:sz w:val="17"/>
                <w:szCs w:val="17"/>
              </w:rPr>
              <w:t xml:space="preserve">TJSC (contexto — notícia de </w:t>
            </w:r>
            <w:proofErr w:type="spellStart"/>
            <w:r>
              <w:rPr>
                <w:color w:val="000000"/>
                <w:sz w:val="17"/>
                <w:szCs w:val="17"/>
              </w:rPr>
              <w:t>jan</w:t>
            </w:r>
            <w:proofErr w:type="spellEnd"/>
            <w:r>
              <w:rPr>
                <w:color w:val="000000"/>
                <w:sz w:val="17"/>
                <w:szCs w:val="17"/>
              </w:rPr>
              <w:t>/2026, fora do período)</w:t>
            </w:r>
          </w:p>
        </w:tc>
        <w:tc>
          <w:tcPr>
            <w:tcW w:w="1800" w:type="dxa"/>
            <w:tcMar>
              <w:top w:w="80" w:type="dxa"/>
              <w:left w:w="100" w:type="dxa"/>
              <w:bottom w:w="80" w:type="dxa"/>
              <w:right w:w="100" w:type="dxa"/>
            </w:tcMar>
            <w:vAlign w:val="center"/>
          </w:tcPr>
          <w:p w14:paraId="12E39310" w14:textId="77777777" w:rsidR="00AE1819" w:rsidRDefault="00000000">
            <w:r>
              <w:rPr>
                <w:color w:val="000000"/>
                <w:sz w:val="17"/>
                <w:szCs w:val="17"/>
              </w:rPr>
              <w:t>5022669-45.2025.8.24.0000</w:t>
            </w:r>
          </w:p>
        </w:tc>
        <w:tc>
          <w:tcPr>
            <w:tcW w:w="1600" w:type="dxa"/>
            <w:tcMar>
              <w:top w:w="80" w:type="dxa"/>
              <w:left w:w="100" w:type="dxa"/>
              <w:bottom w:w="80" w:type="dxa"/>
              <w:right w:w="100" w:type="dxa"/>
            </w:tcMar>
            <w:vAlign w:val="center"/>
          </w:tcPr>
          <w:p w14:paraId="3F8D90C6" w14:textId="77777777" w:rsidR="00AE1819" w:rsidRDefault="00000000">
            <w:r>
              <w:rPr>
                <w:color w:val="000000"/>
                <w:sz w:val="17"/>
                <w:szCs w:val="17"/>
              </w:rPr>
              <w:t>Partilha de bens / divórcio litigioso</w:t>
            </w:r>
          </w:p>
        </w:tc>
        <w:tc>
          <w:tcPr>
            <w:tcW w:w="2800" w:type="dxa"/>
            <w:tcMar>
              <w:top w:w="80" w:type="dxa"/>
              <w:left w:w="100" w:type="dxa"/>
              <w:bottom w:w="80" w:type="dxa"/>
              <w:right w:w="100" w:type="dxa"/>
            </w:tcMar>
            <w:vAlign w:val="center"/>
          </w:tcPr>
          <w:p w14:paraId="34F7CC1B" w14:textId="77777777" w:rsidR="00AE1819" w:rsidRDefault="00000000">
            <w:r>
              <w:rPr>
                <w:color w:val="000000"/>
                <w:sz w:val="17"/>
                <w:szCs w:val="17"/>
              </w:rPr>
              <w:t>Fraude à execução é reconhecível sem penhora prévia registrada quando comprovada má-fé em transação entre cônjuges.</w:t>
            </w:r>
          </w:p>
        </w:tc>
        <w:tc>
          <w:tcPr>
            <w:tcW w:w="1800" w:type="dxa"/>
            <w:tcMar>
              <w:top w:w="80" w:type="dxa"/>
              <w:left w:w="100" w:type="dxa"/>
              <w:bottom w:w="80" w:type="dxa"/>
              <w:right w:w="100" w:type="dxa"/>
            </w:tcMar>
            <w:vAlign w:val="center"/>
          </w:tcPr>
          <w:p w14:paraId="215DE8EC" w14:textId="77777777" w:rsidR="00AE1819" w:rsidRDefault="00000000">
            <w:r>
              <w:rPr>
                <w:color w:val="000000"/>
                <w:sz w:val="17"/>
                <w:szCs w:val="17"/>
              </w:rPr>
              <w:t>Alta incidência em litígios patrimoniais concomitantes a dívidas do casal.</w:t>
            </w:r>
          </w:p>
        </w:tc>
        <w:tc>
          <w:tcPr>
            <w:tcW w:w="1200" w:type="dxa"/>
            <w:tcMar>
              <w:top w:w="80" w:type="dxa"/>
              <w:left w:w="100" w:type="dxa"/>
              <w:bottom w:w="80" w:type="dxa"/>
              <w:right w:w="100" w:type="dxa"/>
            </w:tcMar>
            <w:vAlign w:val="center"/>
          </w:tcPr>
          <w:p w14:paraId="2ABD79A8" w14:textId="77777777" w:rsidR="00AE1819" w:rsidRDefault="00000000">
            <w:r>
              <w:rPr>
                <w:color w:val="000000"/>
                <w:sz w:val="17"/>
                <w:szCs w:val="17"/>
              </w:rPr>
              <w:t>Probatório e material</w:t>
            </w:r>
          </w:p>
        </w:tc>
        <w:tc>
          <w:tcPr>
            <w:tcW w:w="2200" w:type="dxa"/>
            <w:tcMar>
              <w:top w:w="80" w:type="dxa"/>
              <w:left w:w="100" w:type="dxa"/>
              <w:bottom w:w="80" w:type="dxa"/>
              <w:right w:w="100" w:type="dxa"/>
            </w:tcMar>
            <w:vAlign w:val="center"/>
          </w:tcPr>
          <w:p w14:paraId="41F0E64B" w14:textId="77777777" w:rsidR="00AE1819" w:rsidRDefault="00000000">
            <w:r>
              <w:rPr>
                <w:color w:val="000000"/>
                <w:sz w:val="17"/>
                <w:szCs w:val="17"/>
              </w:rPr>
              <w:t>Relevante diante de blindagem patrimonial via "empréstimos" simulados ao cônjuge/companheiro.</w:t>
            </w:r>
          </w:p>
        </w:tc>
        <w:tc>
          <w:tcPr>
            <w:tcW w:w="2000" w:type="dxa"/>
            <w:tcMar>
              <w:top w:w="80" w:type="dxa"/>
              <w:left w:w="100" w:type="dxa"/>
              <w:bottom w:w="80" w:type="dxa"/>
              <w:right w:w="100" w:type="dxa"/>
            </w:tcMar>
            <w:vAlign w:val="center"/>
          </w:tcPr>
          <w:p w14:paraId="51BF90EE" w14:textId="77777777" w:rsidR="00AE1819" w:rsidRDefault="00000000">
            <w:r>
              <w:rPr>
                <w:color w:val="000000"/>
                <w:sz w:val="17"/>
                <w:szCs w:val="17"/>
              </w:rPr>
              <w:t>Credor: reunir indícios de simulação. Cônjuge receptor: comprovar mútuo real anterior à ciência do débito.</w:t>
            </w:r>
          </w:p>
        </w:tc>
      </w:tr>
    </w:tbl>
    <w:p w14:paraId="3B9B248F" w14:textId="77777777" w:rsidR="00AE1819" w:rsidRDefault="00AE1819">
      <w:pPr>
        <w:sectPr w:rsidR="00AE1819">
          <w:pgSz w:w="15840" w:h="12240" w:orient="landscape"/>
          <w:pgMar w:top="720" w:right="720" w:bottom="720" w:left="720" w:header="708" w:footer="708" w:gutter="0"/>
          <w:cols w:space="720"/>
          <w:docGrid w:linePitch="360"/>
        </w:sectPr>
      </w:pPr>
    </w:p>
    <w:p w14:paraId="49D65E7C" w14:textId="77777777" w:rsidR="00AE1819" w:rsidRDefault="00000000">
      <w:pPr>
        <w:pStyle w:val="Ttulo2"/>
        <w:pBdr>
          <w:bottom w:val="single" w:sz="4" w:space="2" w:color="BFBFBF"/>
        </w:pBdr>
        <w:spacing w:before="300" w:after="120"/>
      </w:pPr>
      <w:r>
        <w:rPr>
          <w:b/>
          <w:bCs/>
          <w:color w:val="1F3864"/>
          <w:sz w:val="24"/>
          <w:szCs w:val="24"/>
        </w:rPr>
        <w:lastRenderedPageBreak/>
        <w:t>Anexo — fontes consultadas por tribunal</w:t>
      </w:r>
    </w:p>
    <w:p w14:paraId="3FF3A166" w14:textId="77777777" w:rsidR="00AE1819" w:rsidRDefault="00000000">
      <w:pPr>
        <w:spacing w:after="160" w:line="300" w:lineRule="auto"/>
        <w:jc w:val="both"/>
      </w:pPr>
      <w:r>
        <w:rPr>
          <w:sz w:val="21"/>
          <w:szCs w:val="21"/>
        </w:rPr>
        <w:t>STJ: site institucional de notícias do STJ; Informativo de Jurisprudência do STJ (edição nº 902, de 22/09/2026, integralmente verificada — sem matéria de Direito de Família); Monitor de Sessões do STJ; IBDFAM; Conjur; Migalhas.</w:t>
      </w:r>
    </w:p>
    <w:p w14:paraId="0083A48B" w14:textId="77777777" w:rsidR="00AE1819" w:rsidRDefault="00000000">
      <w:pPr>
        <w:spacing w:after="160" w:line="300" w:lineRule="auto"/>
        <w:jc w:val="both"/>
      </w:pPr>
      <w:r>
        <w:rPr>
          <w:sz w:val="21"/>
          <w:szCs w:val="21"/>
        </w:rPr>
        <w:t>TJSC: portal de notícias do TJSC (www.tjsc.jus.br/web/imprensa); portal de informativos de jurisprudência catarinense (acesso às edições recentes não confirmado); IBDFAM, com filtro por estado de Santa Catarina; Conjur; Migalhas.</w:t>
      </w:r>
    </w:p>
    <w:p w14:paraId="554C1DD8" w14:textId="77777777" w:rsidR="00AE1819" w:rsidRDefault="00000000">
      <w:pPr>
        <w:spacing w:after="160" w:line="300" w:lineRule="auto"/>
        <w:jc w:val="both"/>
      </w:pPr>
      <w:r>
        <w:rPr>
          <w:sz w:val="21"/>
          <w:szCs w:val="21"/>
        </w:rPr>
        <w:t>TJSP: portal de notícias do TJSP (www.tjsp.jus.br/Noticias); Núcleo de Gerenciamento de Precedentes (</w:t>
      </w:r>
      <w:proofErr w:type="spellStart"/>
      <w:r>
        <w:rPr>
          <w:sz w:val="21"/>
          <w:szCs w:val="21"/>
        </w:rPr>
        <w:t>NugepNac</w:t>
      </w:r>
      <w:proofErr w:type="spellEnd"/>
      <w:r>
        <w:rPr>
          <w:sz w:val="21"/>
          <w:szCs w:val="21"/>
        </w:rPr>
        <w:t xml:space="preserve">) do TJSP; sistema </w:t>
      </w:r>
      <w:proofErr w:type="spellStart"/>
      <w:r>
        <w:rPr>
          <w:sz w:val="21"/>
          <w:szCs w:val="21"/>
        </w:rPr>
        <w:t>e-SAJ</w:t>
      </w:r>
      <w:proofErr w:type="spellEnd"/>
      <w:r>
        <w:rPr>
          <w:sz w:val="21"/>
          <w:szCs w:val="21"/>
        </w:rPr>
        <w:t>/CJSG de consulta de jurisprudência de segundo grau (acesso automatizado não obtido — depende de formulário interativo); IBDFAM; Conjur; Migalhas.</w:t>
      </w:r>
    </w:p>
    <w:p w14:paraId="6421CDE5" w14:textId="77777777" w:rsidR="00AE1819" w:rsidRDefault="00000000">
      <w:pPr>
        <w:spacing w:after="160" w:line="300" w:lineRule="auto"/>
        <w:jc w:val="both"/>
      </w:pPr>
      <w:r>
        <w:rPr>
          <w:sz w:val="21"/>
          <w:szCs w:val="21"/>
        </w:rPr>
        <w:t xml:space="preserve">TJRS: portal de notícias do TJRS; base de jurisprudência do IBDFAM filtrada por TJRS; veículos do setor de registros civis (Anoreg-RS, </w:t>
      </w:r>
      <w:proofErr w:type="spellStart"/>
      <w:r>
        <w:rPr>
          <w:sz w:val="21"/>
          <w:szCs w:val="21"/>
        </w:rPr>
        <w:t>Arpen</w:t>
      </w:r>
      <w:proofErr w:type="spellEnd"/>
      <w:r>
        <w:rPr>
          <w:sz w:val="21"/>
          <w:szCs w:val="21"/>
        </w:rPr>
        <w:t xml:space="preserve"> Brasil, </w:t>
      </w:r>
      <w:proofErr w:type="spellStart"/>
      <w:r>
        <w:rPr>
          <w:sz w:val="21"/>
          <w:szCs w:val="21"/>
        </w:rPr>
        <w:t>Arpen</w:t>
      </w:r>
      <w:proofErr w:type="spellEnd"/>
      <w:r>
        <w:rPr>
          <w:sz w:val="21"/>
          <w:szCs w:val="21"/>
        </w:rPr>
        <w:t xml:space="preserve">-MS, </w:t>
      </w:r>
      <w:proofErr w:type="spellStart"/>
      <w:r>
        <w:rPr>
          <w:sz w:val="21"/>
          <w:szCs w:val="21"/>
        </w:rPr>
        <w:t>Sinoreg</w:t>
      </w:r>
      <w:proofErr w:type="spellEnd"/>
      <w:r>
        <w:rPr>
          <w:sz w:val="21"/>
          <w:szCs w:val="21"/>
        </w:rPr>
        <w:t>-MG), utilizados de forma complementar diante de bloqueio de acesso às páginas oficiais; Conjur; Migalhas.</w:t>
      </w:r>
    </w:p>
    <w:p w14:paraId="7FE4BB1B" w14:textId="77777777" w:rsidR="00AE1819" w:rsidRDefault="00000000">
      <w:pPr>
        <w:spacing w:after="160" w:line="300" w:lineRule="auto"/>
        <w:jc w:val="both"/>
      </w:pPr>
      <w:r>
        <w:rPr>
          <w:sz w:val="21"/>
          <w:szCs w:val="21"/>
        </w:rPr>
        <w:t xml:space="preserve">TJMG: portal de notícias do TJMG (acesso bloqueado por erro HTTP 403 em todas as tentativas desta pesquisa); sistema de consulta de jurisprudência do TJMG (www5.tjmg.jus.br), consultado por espelhos individuais de acórdão; base digital de jurisprudência do TJMG; IBDFAM; Conjur; Migalhas; </w:t>
      </w:r>
      <w:proofErr w:type="spellStart"/>
      <w:r>
        <w:rPr>
          <w:sz w:val="21"/>
          <w:szCs w:val="21"/>
        </w:rPr>
        <w:t>Jusbrasil</w:t>
      </w:r>
      <w:proofErr w:type="spellEnd"/>
      <w:r>
        <w:rPr>
          <w:sz w:val="21"/>
          <w:szCs w:val="21"/>
        </w:rPr>
        <w:t>.</w:t>
      </w:r>
    </w:p>
    <w:p w14:paraId="04EAF0C0" w14:textId="77777777" w:rsidR="00AE1819" w:rsidRDefault="00000000">
      <w:pPr>
        <w:spacing w:after="160" w:line="300" w:lineRule="auto"/>
        <w:jc w:val="both"/>
      </w:pPr>
      <w:r>
        <w:rPr>
          <w:sz w:val="21"/>
          <w:szCs w:val="21"/>
        </w:rPr>
        <w:t>Doutrina: IBDFAM, seções de notícias e de artigos; Conjur, inclusive a coluna "Processo Familiar"; Migalhas.</w:t>
      </w:r>
    </w:p>
    <w:sectPr w:rsidR="00AE1819">
      <w:pgSz w:w="12240" w:h="15840"/>
      <w:pgMar w:top="1000" w:right="1100" w:bottom="1000" w:left="11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Univers"/>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7446FD"/>
    <w:multiLevelType w:val="hybridMultilevel"/>
    <w:tmpl w:val="4E825110"/>
    <w:lvl w:ilvl="0" w:tplc="6D027EF8">
      <w:start w:val="1"/>
      <w:numFmt w:val="bullet"/>
      <w:lvlText w:val="●"/>
      <w:lvlJc w:val="left"/>
      <w:pPr>
        <w:ind w:left="720" w:hanging="360"/>
      </w:pPr>
    </w:lvl>
    <w:lvl w:ilvl="1" w:tplc="6D96833A">
      <w:start w:val="1"/>
      <w:numFmt w:val="bullet"/>
      <w:lvlText w:val="○"/>
      <w:lvlJc w:val="left"/>
      <w:pPr>
        <w:ind w:left="1440" w:hanging="360"/>
      </w:pPr>
    </w:lvl>
    <w:lvl w:ilvl="2" w:tplc="C4D4B3E6">
      <w:start w:val="1"/>
      <w:numFmt w:val="bullet"/>
      <w:lvlText w:val="■"/>
      <w:lvlJc w:val="left"/>
      <w:pPr>
        <w:ind w:left="2160" w:hanging="360"/>
      </w:pPr>
    </w:lvl>
    <w:lvl w:ilvl="3" w:tplc="1292CFD6">
      <w:start w:val="1"/>
      <w:numFmt w:val="bullet"/>
      <w:lvlText w:val="●"/>
      <w:lvlJc w:val="left"/>
      <w:pPr>
        <w:ind w:left="2880" w:hanging="360"/>
      </w:pPr>
    </w:lvl>
    <w:lvl w:ilvl="4" w:tplc="F752A756">
      <w:start w:val="1"/>
      <w:numFmt w:val="bullet"/>
      <w:lvlText w:val="○"/>
      <w:lvlJc w:val="left"/>
      <w:pPr>
        <w:ind w:left="3600" w:hanging="360"/>
      </w:pPr>
    </w:lvl>
    <w:lvl w:ilvl="5" w:tplc="089ED7E4">
      <w:start w:val="1"/>
      <w:numFmt w:val="bullet"/>
      <w:lvlText w:val="■"/>
      <w:lvlJc w:val="left"/>
      <w:pPr>
        <w:ind w:left="4320" w:hanging="360"/>
      </w:pPr>
    </w:lvl>
    <w:lvl w:ilvl="6" w:tplc="E4563708">
      <w:start w:val="1"/>
      <w:numFmt w:val="bullet"/>
      <w:lvlText w:val="●"/>
      <w:lvlJc w:val="left"/>
      <w:pPr>
        <w:ind w:left="5040" w:hanging="360"/>
      </w:pPr>
    </w:lvl>
    <w:lvl w:ilvl="7" w:tplc="B10805FE">
      <w:start w:val="1"/>
      <w:numFmt w:val="bullet"/>
      <w:lvlText w:val="●"/>
      <w:lvlJc w:val="left"/>
      <w:pPr>
        <w:ind w:left="5760" w:hanging="360"/>
      </w:pPr>
    </w:lvl>
    <w:lvl w:ilvl="8" w:tplc="3BDE30DA">
      <w:start w:val="1"/>
      <w:numFmt w:val="bullet"/>
      <w:lvlText w:val="●"/>
      <w:lvlJc w:val="left"/>
      <w:pPr>
        <w:ind w:left="6480" w:hanging="360"/>
      </w:pPr>
    </w:lvl>
  </w:abstractNum>
  <w:num w:numId="1" w16cid:durableId="182570189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819"/>
    <w:rsid w:val="00770E12"/>
    <w:rsid w:val="00AE1819"/>
    <w:rsid w:val="00C52A5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F3D4A"/>
  <w15:docId w15:val="{2C2CA51C-66E9-409D-9FDF-49169318F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unhideWhenUsed/>
    <w:qFormat/>
    <w:pPr>
      <w:outlineLvl w:val="1"/>
    </w:pPr>
    <w:rPr>
      <w:color w:val="2E74B5"/>
      <w:sz w:val="26"/>
      <w:szCs w:val="26"/>
    </w:rPr>
  </w:style>
  <w:style w:type="paragraph" w:styleId="Ttulo3">
    <w:name w:val="heading 3"/>
    <w:uiPriority w:val="9"/>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uiPriority w:val="10"/>
    <w:qFormat/>
    <w:rPr>
      <w:sz w:val="56"/>
      <w:szCs w:val="56"/>
    </w:rPr>
  </w:style>
  <w:style w:type="paragraph" w:customStyle="1" w:styleId="Forte1">
    <w:name w:val="Forte1"/>
    <w:qFormat/>
    <w:rPr>
      <w:b/>
      <w:bCs/>
    </w:rPr>
  </w:style>
  <w:style w:type="paragraph" w:styleId="PargrafodaLista">
    <w:name w:val="List Paragraph"/>
    <w:qFormat/>
  </w:style>
  <w:style w:type="character" w:styleId="Hyperlink">
    <w:name w:val="Hyperlink"/>
    <w:uiPriority w:val="99"/>
    <w:unhideWhenUsed/>
    <w:rPr>
      <w:color w:val="0563C1"/>
      <w:u w:val="single"/>
    </w:rPr>
  </w:style>
  <w:style w:type="character" w:styleId="Refdenotaderodap">
    <w:name w:val="footnote reference"/>
    <w:uiPriority w:val="99"/>
    <w:semiHidden/>
    <w:unhideWhenUsed/>
    <w:rPr>
      <w:vertAlign w:val="superscript"/>
    </w:rPr>
  </w:style>
  <w:style w:type="paragraph" w:styleId="Textodenotaderodap">
    <w:name w:val="footnote text"/>
    <w:link w:val="TextodenotaderodapChar"/>
    <w:uiPriority w:val="99"/>
    <w:semiHidden/>
    <w:unhideWhenUsed/>
  </w:style>
  <w:style w:type="character" w:customStyle="1" w:styleId="TextodenotaderodapChar">
    <w:name w:val="Texto de nota de rodapé Char"/>
    <w:link w:val="Textodenotaderodap"/>
    <w:uiPriority w:val="99"/>
    <w:semiHidden/>
    <w:unhideWhenUsed/>
    <w:rPr>
      <w:sz w:val="20"/>
      <w:szCs w:val="20"/>
    </w:rPr>
  </w:style>
  <w:style w:type="character" w:styleId="Refdenotadefim">
    <w:name w:val="endnote reference"/>
    <w:uiPriority w:val="99"/>
    <w:semiHidden/>
    <w:unhideWhenUsed/>
    <w:rPr>
      <w:vertAlign w:val="superscript"/>
    </w:rPr>
  </w:style>
  <w:style w:type="paragraph" w:styleId="Textodenotadefim">
    <w:name w:val="endnote text"/>
    <w:link w:val="TextodenotadefimChar"/>
    <w:uiPriority w:val="99"/>
    <w:semiHidden/>
    <w:unhideWhenUsed/>
  </w:style>
  <w:style w:type="character" w:customStyle="1" w:styleId="TextodenotadefimChar">
    <w:name w:val="Texto de nota de fim Char"/>
    <w:link w:val="Textodenotadefim"/>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8</Pages>
  <Words>3800</Words>
  <Characters>20524</Characters>
  <Application>Microsoft Office Word</Application>
  <DocSecurity>0</DocSecurity>
  <Lines>171</Lines>
  <Paragraphs>48</Paragraphs>
  <ScaleCrop>false</ScaleCrop>
  <Company/>
  <LinksUpToDate>false</LinksUpToDate>
  <CharactersWithSpaces>24276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Paulo Roberto Froes Toniazzo</cp:lastModifiedBy>
  <cp:revision>2</cp:revision>
  <dcterms:created xsi:type="dcterms:W3CDTF">2026-09-28T12:56:00Z</dcterms:created>
  <dcterms:modified xsi:type="dcterms:W3CDTF">2026-09-28T12:56:00Z</dcterms:modified>
</cp:coreProperties>
</file>