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5056" w14:textId="77777777" w:rsidR="00E0090F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1CC4D8DA" wp14:editId="46BFD792">
            <wp:extent cx="571500" cy="552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BC297" w14:textId="77777777" w:rsidR="00E0090F" w:rsidRDefault="00000000">
      <w:pPr>
        <w:jc w:val="center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TONIAZZO ADVOGADOS</w:t>
      </w:r>
    </w:p>
    <w:p w14:paraId="4E950268" w14:textId="77777777" w:rsidR="00E0090F" w:rsidRDefault="00000000">
      <w:pPr>
        <w:spacing w:after="120"/>
        <w:jc w:val="center"/>
      </w:pPr>
      <w:r>
        <w:rPr>
          <w:rFonts w:ascii="Calibri" w:eastAsia="Calibri" w:hAnsi="Calibri" w:cs="Calibri"/>
          <w:color w:val="595959"/>
          <w:sz w:val="16"/>
          <w:szCs w:val="16"/>
        </w:rPr>
        <w:t>Rua General Liberato Bittencourt, nº 1475, Sala 817, Florianópolis/SC</w:t>
      </w:r>
    </w:p>
    <w:p w14:paraId="458A2AD2" w14:textId="77777777" w:rsidR="00E0090F" w:rsidRDefault="00E0090F">
      <w:pPr>
        <w:pBdr>
          <w:bottom w:val="single" w:sz="6" w:space="4" w:color="1F3864"/>
        </w:pBdr>
        <w:spacing w:after="240"/>
      </w:pPr>
    </w:p>
    <w:p w14:paraId="6099885D" w14:textId="77777777" w:rsidR="00E0090F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sz w:val="30"/>
          <w:szCs w:val="30"/>
        </w:rPr>
        <w:t>Boletim semanal de jurisprudência</w:t>
      </w:r>
    </w:p>
    <w:p w14:paraId="7D113BF6" w14:textId="77777777" w:rsidR="00E0090F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Improbidade administrativa e crimes contra a administração pública</w:t>
      </w:r>
    </w:p>
    <w:p w14:paraId="193646F4" w14:textId="77777777" w:rsidR="00E0090F" w:rsidRDefault="00000000">
      <w:pPr>
        <w:spacing w:after="200"/>
        <w:jc w:val="center"/>
      </w:pPr>
      <w:r>
        <w:rPr>
          <w:rFonts w:ascii="Calibri" w:eastAsia="Calibri" w:hAnsi="Calibri" w:cs="Calibri"/>
          <w:i/>
          <w:iCs/>
        </w:rPr>
        <w:t>Semana de 21 a 27 de setembro de 2026 — STF, STJ, TJSC e TJSP</w:t>
      </w:r>
    </w:p>
    <w:p w14:paraId="511CD6EB" w14:textId="77777777" w:rsidR="00E0090F" w:rsidRDefault="00000000">
      <w:pPr>
        <w:pStyle w:val="Ttulo1"/>
        <w:pBdr>
          <w:bottom w:val="single" w:sz="4" w:space="4" w:color="BFBFBF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Critérios de seleção dos julgados</w:t>
      </w:r>
    </w:p>
    <w:p w14:paraId="5A6DDA4C" w14:textId="77777777" w:rsidR="00E0090F" w:rsidRDefault="00000000">
      <w:pPr>
        <w:spacing w:after="160"/>
        <w:jc w:val="both"/>
      </w:pPr>
      <w:r>
        <w:rPr>
          <w:rFonts w:ascii="Calibri" w:eastAsia="Calibri" w:hAnsi="Calibri" w:cs="Calibri"/>
        </w:rPr>
        <w:t>A seleção considerou sete critérios, aplicados de forma cumulativa nas semanas em que o volume de julgados de um tribunal exceda o limite de dez: impacto prático imediato na defesa de ações de improbidade e de ações penais por crimes contra a administração pública; novidade do entendimento firmado em contraste com precedentes já consolidados do mesmo tribunal; recorrência do tema nas demandas em curso no escritório; potencial de uso direto em contestação, resposta à acusação, memorial ou recurso; pronunciamento sobre a aplicação retroativa da Lei 14.230/2021 a fatos anteriores à sua vigência; alinhamento ou divergência do tribunal de origem com precedentes do STF e do STJ sobre a mesma matéria; e utilidade para a prevenção de risco processual em casos ainda em fase de instrução ou de resposta preliminar.</w:t>
      </w:r>
    </w:p>
    <w:p w14:paraId="1D6A7F77" w14:textId="77777777" w:rsidR="00E0090F" w:rsidRDefault="00000000">
      <w:pPr>
        <w:pStyle w:val="Ttulo1"/>
        <w:pBdr>
          <w:bottom w:val="single" w:sz="4" w:space="4" w:color="BFBFBF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Julgados por tema</w:t>
      </w:r>
    </w:p>
    <w:p w14:paraId="19A8C868" w14:textId="77777777" w:rsidR="00E0090F" w:rsidRDefault="00000000">
      <w:pPr>
        <w:spacing w:after="2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Organização: por tema jurídico e, dentro de cada tema, por tribunal, na ordem STF, STJ, TJSC e TJSP.</w:t>
      </w:r>
    </w:p>
    <w:p w14:paraId="7B1CFEE4" w14:textId="77777777" w:rsidR="00E0090F" w:rsidRDefault="00000000">
      <w:pPr>
        <w:pStyle w:val="Ttulo2"/>
        <w:spacing w:before="24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Tema 1 — Elemento subjetivo (dolo específico) e tipicidade dos atos de improbidade (arts. 9º, 10 e 11 da Lei 8.429/1992)</w:t>
      </w:r>
    </w:p>
    <w:p w14:paraId="23E086CB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TJSC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0090F" w14:paraId="25B6D3C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9FF0BC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Tema/categoria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E35814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Elemento subjetivo (dolo específico) e tipicidade dos atos de improbidade (art. 11 da Lei 8.429/1992)</w:t>
            </w:r>
          </w:p>
        </w:tc>
      </w:tr>
      <w:tr w:rsidR="00E0090F" w14:paraId="7A18B08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E845D2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Tribunal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CB8E22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TJSC</w:t>
            </w:r>
          </w:p>
        </w:tc>
      </w:tr>
      <w:tr w:rsidR="00E0090F" w14:paraId="4C1B036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380BF9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Órgão julgador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01179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3ª Câmara de Direito Público</w:t>
            </w:r>
          </w:p>
        </w:tc>
      </w:tr>
      <w:tr w:rsidR="00E0090F" w14:paraId="4CF8126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5E8C51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Número do processo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39C99B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não confirmado na fonte consultada</w:t>
            </w:r>
          </w:p>
        </w:tc>
      </w:tr>
      <w:tr w:rsidR="00E0090F" w14:paraId="0429371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6E41D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Classe processual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A1F8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provavelmente apelação cível, em ação civil pública de improbidade; classe não indicada expressamente na fonte consultada</w:t>
            </w:r>
          </w:p>
        </w:tc>
      </w:tr>
      <w:tr w:rsidR="00E0090F" w14:paraId="57EECF0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336983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Data de julgamento/publicação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39F9B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notícia veiculada em 24/09/2026; data da sessão de julgamento não confirmada na fonte consultada</w:t>
            </w:r>
          </w:p>
        </w:tc>
      </w:tr>
      <w:tr w:rsidR="00E0090F" w14:paraId="5E0D498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8A2C71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Relator(a)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D7DB84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citado como Desembargador Júlio César Knoll em matéria de imprensa; não confirmado em fonte primária do TJSC para este caso específico</w:t>
            </w:r>
          </w:p>
        </w:tc>
      </w:tr>
      <w:tr w:rsidR="00E0090F" w14:paraId="6484945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CA42D1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Resumo objetivo da controvérsia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21B0C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 Ministério Público ajuizou ação de improbidade contra ex-prefeito de Irani/SC sob a alegação de que uma revista de prestação de contas produzida durante a gestão promoveu pessoalmente o então prefeito. Houve condenação em primeiro grau; o TJSC reformou a sentença.</w:t>
            </w:r>
          </w:p>
        </w:tc>
      </w:tr>
      <w:tr w:rsidR="00E0090F" w14:paraId="0FA51BD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3CC179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Critério específico de relevância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72B4E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Aplica diretamente a exigência de dolo específico como requisito para configuração de improbidade em peça de comunicação institucional, tema recorrente nas demandas do escritório e alinhado à linha adotada pelo STF no Tema 1199 de repercussão geral, que exige dolo específico para os atos do art. 11 da Lei 8.429/1992.</w:t>
            </w:r>
          </w:p>
        </w:tc>
      </w:tr>
      <w:tr w:rsidR="00E0090F" w14:paraId="6D996D6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9CC0A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Tese ou entendimento adotado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579AA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 caracterização de improbidade administrativa exige comprovação de dolo específico. Conteúdo predominantemente informativo sobre obras e programas públicos, sem nome, foto ou identificação partidária do gestor, não configura promoção pessoal apta a caracterizar o ilícito.</w:t>
            </w:r>
          </w:p>
        </w:tc>
      </w:tr>
      <w:tr w:rsidR="00E0090F" w14:paraId="6CEBB5C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0647E8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Resultado do julgamento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15A23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Reforma unânime da sentença. Ação julgada improcedente. Afastadas a obrigação de ressarcimento, a multa civil e a proibição de contratar com o poder público.</w:t>
            </w:r>
          </w:p>
        </w:tc>
      </w:tr>
      <w:tr w:rsidR="00E0090F" w14:paraId="3681381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A3F15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Impacto prático para a atuação contenciosa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42D8BB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Confirma, em precedente catarinense recente, que peças de comunicação institucional sem elementos de autopromoção pessoal não bastam para configurar dolo específico, mesmo quando a autoria política da gestão é evidente.</w:t>
            </w:r>
          </w:p>
        </w:tc>
      </w:tr>
      <w:tr w:rsidR="00E0090F" w14:paraId="23D294FF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512F50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Teses defensivas / argumentos estratégicos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90C496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(i) Demonstrar o caráter estritamente informativo e institucional da comunicação questionada;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apontar a ausência de nome, foto, símbolo partidário ou qualquer elemento de identificação pessoal na peça publicitária;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iii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sustentar que, após a Lei 14.230/2021, mera irregularidade administrativa sem dolo específico comprovado não configura ato de improbidade, nos termos dos arts. 1º, §§ 1º a 3º, e 11 da Lei 8.429/1992.</w:t>
            </w:r>
          </w:p>
        </w:tc>
      </w:tr>
      <w:tr w:rsidR="00E0090F" w14:paraId="0B3C3F8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AAC0B1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F4023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Favorável à defesa</w:t>
            </w:r>
          </w:p>
        </w:tc>
      </w:tr>
      <w:tr w:rsidR="00E0090F" w14:paraId="0B0342A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DFC74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Fonte consultada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AC2E3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Notícia de imprensa regional (não localizada notícia oficial correspondente em tjsc.jus.br dentro do período): https://atualfm.com.br/tjsc-absolve-ex-prefeito-de-irani-em-acao-de-improbidade-administrativa/</w:t>
            </w:r>
          </w:p>
        </w:tc>
      </w:tr>
    </w:tbl>
    <w:p w14:paraId="1720BF63" w14:textId="77777777" w:rsidR="00E0090F" w:rsidRDefault="00E0090F">
      <w:pPr>
        <w:spacing w:after="160"/>
      </w:pPr>
    </w:p>
    <w:p w14:paraId="58F006E4" w14:textId="15B923C4" w:rsidR="00E0090F" w:rsidRDefault="00000000">
      <w:pPr>
        <w:pStyle w:val="Ttulo2"/>
        <w:spacing w:before="240" w:after="10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Tema 2</w:t>
      </w:r>
      <w:r w:rsidR="000B21C0"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—</w:t>
      </w:r>
      <w:r w:rsidR="000B21C0"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Crimes contra a administração pública (peculato, corrupção ativa e passiva, concussão, prevaricação, crimes licitatórios da Lei 14.133/2021, organização criminosa e lavagem quando conexos)</w:t>
      </w:r>
    </w:p>
    <w:p w14:paraId="0D99C05C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TJSC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000"/>
      </w:tblGrid>
      <w:tr w:rsidR="00E0090F" w14:paraId="56555564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75309C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Tema/categoria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6AA6F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5. Crimes contra a administração pública (organização criminosa, peculato, fraude em licitação e lavagem de dinheiro conexos) — com reflexo direto no tema 4 (dosimetria e proporcionalidade)</w:t>
            </w:r>
          </w:p>
        </w:tc>
      </w:tr>
      <w:tr w:rsidR="00E0090F" w14:paraId="516F614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B9BAD7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Tribunal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4197F5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TJSC</w:t>
            </w:r>
          </w:p>
        </w:tc>
      </w:tr>
      <w:tr w:rsidR="00E0090F" w14:paraId="2B9AEA3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F3C160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Órgão julgador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E5EE1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4ª Câmara Criminal, conforme as fontes consultadas; não confirmado se o colegiado atuou como instância originária, em razão de eventual foro por prerrogativa de função, ou como órgão revisor</w:t>
            </w:r>
          </w:p>
        </w:tc>
      </w:tr>
      <w:tr w:rsidR="00E0090F" w14:paraId="7264A499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8A316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Número do processo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57209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não confirmado na fonte consultada</w:t>
            </w:r>
          </w:p>
        </w:tc>
      </w:tr>
      <w:tr w:rsidR="00E0090F" w14:paraId="44CB412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0B7FEA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Classe processual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6F113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ação penal ("Operação Travessia")</w:t>
            </w:r>
          </w:p>
        </w:tc>
      </w:tr>
      <w:tr w:rsidR="00E0090F" w14:paraId="2835DE2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8FCB3D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Data de julgamento/publicação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4BAFA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notícias veiculadas em 23/09/2026 e 24/09/2026; data da sessão de julgamento não confirmada com precisão na fonte consultada</w:t>
            </w:r>
          </w:p>
        </w:tc>
      </w:tr>
      <w:tr w:rsidR="00E0090F" w14:paraId="2FB6E4B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8C6D4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Relator(a)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07720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não identificado nominalmente em nenhuma das fontes consultadas</w:t>
            </w:r>
          </w:p>
        </w:tc>
      </w:tr>
      <w:tr w:rsidR="00E0090F" w14:paraId="762F717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1DF89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Resumo objetivo da controvérsia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993914" w14:textId="33A410AF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Oito réus</w:t>
            </w:r>
            <w:r w:rsidR="000B21C0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foram condenados por organização criminosa, múltiplos peculatos, fraude em licitação e lavagem de dinheiro, relacionados a desvio de recursos na obra de uma ponte.</w:t>
            </w:r>
          </w:p>
        </w:tc>
      </w:tr>
      <w:tr w:rsidR="00E0090F" w14:paraId="44816CA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2164E3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Critério específico de relevância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80CD7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Julgamento com condenação cumulativa de foro por prerrogativa de função, penas somadas superiores a 170 anos e discrepância expressiva entre corréus — caso de alta relevância para avaliação de risco processual em operações policiais contra gestores municipais e para construção de teses recursais de dosimetria e individualização de pena em casos análogos.</w:t>
            </w:r>
          </w:p>
        </w:tc>
      </w:tr>
      <w:tr w:rsidR="00E0090F" w14:paraId="08FE1DE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32D0C9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Tese ou entendimento adotado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8081BE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 teor da fundamentação jurídica do colegiado não foi divulgado em detalhe pelas fontes consultadas; delas consta apenas o resultado condenatório e as penas fixadas.</w:t>
            </w:r>
          </w:p>
        </w:tc>
      </w:tr>
      <w:tr w:rsidR="00E0090F" w14:paraId="5024A24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D21FF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Resultado do julgamento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E04A3" w14:textId="7FF6A7D6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Condenação dos oito réus. Penas </w:t>
            </w:r>
            <w:r w:rsidR="000B21C0">
              <w:rPr>
                <w:rFonts w:ascii="Calibri" w:eastAsia="Calibri" w:hAnsi="Calibri" w:cs="Calibri"/>
                <w:sz w:val="18"/>
                <w:szCs w:val="18"/>
              </w:rPr>
              <w:t>individualizadas,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ressarcimento de R$ 2,36 milhões e perda de cargo com inabilitação para função pública. Decisão sujeita a recurso.</w:t>
            </w:r>
          </w:p>
        </w:tc>
      </w:tr>
      <w:tr w:rsidR="00E0090F" w14:paraId="29E61FC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16491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Impacto prático para a atuação contenciosa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BD70F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Ilustra o padrão de dosimetria severa do TJSC em casos de organização criminosa conexa a peculato e fraude licitatória, com discrepância expressiva de penas entre corréus de participação aparentemente próxima — o que, por si, é um indicativo de vulnerabilidade recursal quanto à individualização da pena.</w:t>
            </w:r>
          </w:p>
        </w:tc>
      </w:tr>
      <w:tr w:rsidR="00E0090F" w14:paraId="09D6399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5D2FFD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Teses defensivas / argumentos estratégicos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6E6F0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(i) Impugnar eventual bis in idem na valoração conjunta de organização criminosa e dos delitos-fim (peculato e fraude em licitação) nas fases de dosimetria;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questionar a proporcionalidade da discrepância de penas entre corréus com condutas de gravidade aparentemente próxima;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iii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arguir, após a publicação do acórdão fundamentado, nulidade por deficiência de motivação na individualização da pena, se for o caso;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iv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discutir, em sede de apelação, a real extensão da participação de cada agente na organização criminosa, em contraposição à intervenção pontual em contratos específicos.</w:t>
            </w:r>
          </w:p>
        </w:tc>
      </w:tr>
      <w:tr w:rsidR="00E0090F" w14:paraId="3752E96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6B21E0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FF8309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Favorável à acusação/Ministério Público (utilidade defensiva concentrada na fase recursal, principalmente quanto à dosimetria e à individualização da pena)</w:t>
            </w:r>
          </w:p>
        </w:tc>
      </w:tr>
      <w:tr w:rsidR="00E0090F" w14:paraId="4EA66CC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D1EFDD" w14:textId="77777777" w:rsidR="00E0090F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Fonte consultada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EBAF07" w14:textId="3491B72D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Nota institucional do Ministério Público de Santa Catarina: </w:t>
            </w:r>
          </w:p>
        </w:tc>
      </w:tr>
    </w:tbl>
    <w:p w14:paraId="61A8A300" w14:textId="77777777" w:rsidR="00E0090F" w:rsidRDefault="00E0090F">
      <w:pPr>
        <w:spacing w:after="160"/>
      </w:pPr>
    </w:p>
    <w:p w14:paraId="6155C64E" w14:textId="2AB1B07F" w:rsidR="00E0090F" w:rsidRDefault="00000000">
      <w:pPr>
        <w:pStyle w:val="Ttulo1"/>
        <w:pBdr>
          <w:bottom w:val="single" w:sz="4" w:space="4" w:color="BFBFBF"/>
        </w:pBdr>
        <w:spacing w:before="320" w:after="14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Síntese da semana</w:t>
      </w:r>
    </w:p>
    <w:p w14:paraId="32A57DCC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Entendimentos mais relevantes identificados</w:t>
      </w:r>
    </w:p>
    <w:p w14:paraId="11D7BE53" w14:textId="77777777" w:rsidR="00E0090F" w:rsidRDefault="00000000">
      <w:pPr>
        <w:spacing w:after="160"/>
        <w:jc w:val="both"/>
      </w:pPr>
      <w:r>
        <w:rPr>
          <w:rFonts w:ascii="Calibri" w:eastAsia="Calibri" w:hAnsi="Calibri" w:cs="Calibri"/>
        </w:rPr>
        <w:lastRenderedPageBreak/>
        <w:t>A semana produziu um único entendimento com repercussão direta e imediata para a defesa: a 3ª Câmara de Direito Público do TJSC reafirmou que a caracterização de improbidade por promoção pessoal em peça de comunicação institucional depende de dolo específico comprovado, e que conteúdo sem nome, foto ou identificação partidária do gestor não atende a esse requisito. O segundo julgado catarinense da semana, a condenação dos oito réus da Operação Travessia por organização criminosa, peculato e fraude em licitação, tem relevância para a defesa concentrada na fase recursal, sobretudo em dosimetria e individualização de pena.</w:t>
      </w:r>
    </w:p>
    <w:p w14:paraId="1CAD2702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Tendências favoráveis ou desfavoráveis à acusação e ao Ministério Público</w:t>
      </w:r>
    </w:p>
    <w:p w14:paraId="39BE3BB0" w14:textId="77777777" w:rsidR="00E0090F" w:rsidRDefault="00000000">
      <w:pPr>
        <w:spacing w:after="160"/>
        <w:jc w:val="both"/>
      </w:pPr>
      <w:r>
        <w:rPr>
          <w:rFonts w:ascii="Calibri" w:eastAsia="Calibri" w:hAnsi="Calibri" w:cs="Calibri"/>
        </w:rPr>
        <w:t>O TJSC manteve, na Operação Travessia, uma linha de dosimetria rigorosa em casos de organização criminosa conexa a peculato e fraude licitatória, com penas somadas superiores a 170 anos entre os oito condenados. Esse resultado indica ambiente desfavorável a réus em casos com prova robusta de materialidade e de autoria coletiva, especialmente quando há foro por prerrogativa de função envolvido.</w:t>
      </w:r>
    </w:p>
    <w:p w14:paraId="52049F1C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Tendências favoráveis ou desfavoráveis à defesa</w:t>
      </w:r>
    </w:p>
    <w:p w14:paraId="1658DCA7" w14:textId="7DCCC742" w:rsidR="00E0090F" w:rsidRDefault="00000000">
      <w:pPr>
        <w:spacing w:after="160"/>
        <w:jc w:val="both"/>
      </w:pPr>
      <w:r>
        <w:rPr>
          <w:rFonts w:ascii="Calibri" w:eastAsia="Calibri" w:hAnsi="Calibri" w:cs="Calibri"/>
        </w:rPr>
        <w:t xml:space="preserve">A exigência de dolo específico segue como a principal linha de defesa em ações de improbidade fundadas em publicidade e comunicação de gestão, com reforço direto do precedente catarinense da semana. </w:t>
      </w:r>
    </w:p>
    <w:p w14:paraId="435DA390" w14:textId="77777777" w:rsidR="00E0090F" w:rsidRDefault="00000000">
      <w:pPr>
        <w:spacing w:before="160" w:after="80"/>
      </w:pPr>
      <w:r>
        <w:rPr>
          <w:rFonts w:ascii="Calibri" w:eastAsia="Calibri" w:hAnsi="Calibri" w:cs="Calibri"/>
          <w:b/>
          <w:bCs/>
        </w:rPr>
        <w:t>Pontos de atenção para defesas, recursos, contestações, respostas à acusação, memoriais ou acordos</w:t>
      </w:r>
    </w:p>
    <w:p w14:paraId="7A58A24D" w14:textId="44DBD5DF" w:rsidR="00E0090F" w:rsidRDefault="00000000">
      <w:pPr>
        <w:spacing w:after="160"/>
        <w:jc w:val="both"/>
      </w:pPr>
      <w:r>
        <w:rPr>
          <w:rFonts w:ascii="Calibri" w:eastAsia="Calibri" w:hAnsi="Calibri" w:cs="Calibri"/>
        </w:rPr>
        <w:t>Recomenda-se: manter a exigência de dolo específico como tese central em respostas a ações de improbidade fundadas em publicidade institucional, à luz do precedente catarinense da semana; preparar argumentos de dosimetria e individualização de pena para a fase recursal.</w:t>
      </w:r>
    </w:p>
    <w:p w14:paraId="3CAA229D" w14:textId="77777777" w:rsidR="00E0090F" w:rsidRDefault="00000000">
      <w:pPr>
        <w:pStyle w:val="Ttulo1"/>
        <w:spacing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Quadro comparativo final</w:t>
      </w:r>
    </w:p>
    <w:tbl>
      <w:tblPr>
        <w:tblW w:w="14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"/>
        <w:gridCol w:w="1693"/>
        <w:gridCol w:w="1754"/>
        <w:gridCol w:w="2315"/>
        <w:gridCol w:w="1562"/>
        <w:gridCol w:w="1588"/>
        <w:gridCol w:w="2022"/>
        <w:gridCol w:w="2275"/>
      </w:tblGrid>
      <w:tr w:rsidR="00E0090F" w14:paraId="6BB2A1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EA7C4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Tribunal</w:t>
            </w:r>
          </w:p>
        </w:tc>
        <w:tc>
          <w:tcPr>
            <w:tcW w:w="17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6F606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Processo/referência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C92CA1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Tema</w:t>
            </w:r>
          </w:p>
        </w:tc>
        <w:tc>
          <w:tcPr>
            <w:tcW w:w="24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C1FE6C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Entendimento central</w:t>
            </w:r>
          </w:p>
        </w:tc>
        <w:tc>
          <w:tcPr>
            <w:tcW w:w="16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A384C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Critério de relevância</w:t>
            </w:r>
          </w:p>
        </w:tc>
        <w:tc>
          <w:tcPr>
            <w:tcW w:w="13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E84E3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Classificação</w:t>
            </w:r>
          </w:p>
        </w:tc>
        <w:tc>
          <w:tcPr>
            <w:tcW w:w="21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1CEB09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Impacto prático</w:t>
            </w:r>
          </w:p>
        </w:tc>
        <w:tc>
          <w:tcPr>
            <w:tcW w:w="2300" w:type="dxa"/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16167" w14:textId="77777777" w:rsidR="00E0090F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Tese defensiva/argumento estratégico</w:t>
            </w:r>
          </w:p>
        </w:tc>
      </w:tr>
      <w:tr w:rsidR="00E0090F" w14:paraId="7125A2D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FA13E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TJSC</w:t>
            </w:r>
          </w:p>
        </w:tc>
        <w:tc>
          <w:tcPr>
            <w:tcW w:w="17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DB526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Não confirmado (ver nota metodológica); notícia de 24/09/2026</w:t>
            </w:r>
          </w:p>
        </w:tc>
        <w:tc>
          <w:tcPr>
            <w:tcW w:w="18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F5E594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Dolo específico / tipicidade (art. 11)</w:t>
            </w:r>
          </w:p>
        </w:tc>
        <w:tc>
          <w:tcPr>
            <w:tcW w:w="2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7551A1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Dolo específico exigido; publicidade sem autopromoção pessoal não configura improbidade</w:t>
            </w:r>
          </w:p>
        </w:tc>
        <w:tc>
          <w:tcPr>
            <w:tcW w:w="16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C978D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Uso recorrente em defesa de gestores em casos de publicidade institucional; alinhado ao Tema 1199/STF</w:t>
            </w:r>
          </w:p>
        </w:tc>
        <w:tc>
          <w:tcPr>
            <w:tcW w:w="1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2E7501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Favorável à defesa</w:t>
            </w:r>
          </w:p>
        </w:tc>
        <w:tc>
          <w:tcPr>
            <w:tcW w:w="21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4B5C1C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Reforça tese de ausência de dolo específico em ações fundadas em publicidade de gestão</w:t>
            </w:r>
          </w:p>
        </w:tc>
        <w:tc>
          <w:tcPr>
            <w:tcW w:w="23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199995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Demonstrar caráter informativo/institucional; ausência de identificação pessoal; irregularidade sem dolo específico não configura improbidade pós-Lei 14.230/2021</w:t>
            </w:r>
          </w:p>
        </w:tc>
      </w:tr>
      <w:tr w:rsidR="00E0090F" w14:paraId="3CD8BCD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E44D3F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TJSC</w:t>
            </w:r>
          </w:p>
        </w:tc>
        <w:tc>
          <w:tcPr>
            <w:tcW w:w="17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745437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Não confirmado (ver nota metodológica); notícias de 23-24/09/2026 — "Operação Travessia"</w:t>
            </w:r>
          </w:p>
        </w:tc>
        <w:tc>
          <w:tcPr>
            <w:tcW w:w="18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CF6BCA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Crimes contra a administração pública / dosimetria</w:t>
            </w:r>
          </w:p>
        </w:tc>
        <w:tc>
          <w:tcPr>
            <w:tcW w:w="24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670BD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Condenação de oito réus por organização criminosa, peculato, fraude em licitação e lavagem; penas somadas &gt; 170 anos</w:t>
            </w:r>
          </w:p>
        </w:tc>
        <w:tc>
          <w:tcPr>
            <w:tcW w:w="16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3ECAD7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Foro por prerrogativa de função; alto risco processual; discrepância de penas entre corréus</w:t>
            </w:r>
          </w:p>
        </w:tc>
        <w:tc>
          <w:tcPr>
            <w:tcW w:w="13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F884BA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Favorável à acusação/Ministério Público (utilidade defensiva na fase recursal)</w:t>
            </w:r>
          </w:p>
        </w:tc>
        <w:tc>
          <w:tcPr>
            <w:tcW w:w="21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08BF9D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Parâmetro de dosimetria severa em casos de organização criminosa conexa a peculato</w:t>
            </w:r>
          </w:p>
        </w:tc>
        <w:tc>
          <w:tcPr>
            <w:tcW w:w="2300" w:type="dxa"/>
            <w:shd w:val="clear" w:color="auto" w:fill="F7F7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ABE763" w14:textId="77777777" w:rsidR="00E0090F" w:rsidRDefault="00000000">
            <w:pPr>
              <w:jc w:val="both"/>
            </w:pPr>
            <w:r>
              <w:rPr>
                <w:rFonts w:ascii="Calibri" w:eastAsia="Calibri" w:hAnsi="Calibri" w:cs="Calibri"/>
                <w:sz w:val="17"/>
                <w:szCs w:val="17"/>
              </w:rPr>
              <w:t>Bis in idem na valoração de organização criminosa e delitos-fim; desproporcionalidade entre corréus; deficiência de motivação individualizada</w:t>
            </w:r>
          </w:p>
        </w:tc>
      </w:tr>
    </w:tbl>
    <w:p w14:paraId="61D0A7DE" w14:textId="77777777" w:rsidR="00082D72" w:rsidRDefault="00082D72"/>
    <w:sectPr w:rsidR="00082D72"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Univer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615E4"/>
    <w:multiLevelType w:val="hybridMultilevel"/>
    <w:tmpl w:val="10D4F3D0"/>
    <w:lvl w:ilvl="0" w:tplc="1DDA885E">
      <w:start w:val="1"/>
      <w:numFmt w:val="bullet"/>
      <w:lvlText w:val="●"/>
      <w:lvlJc w:val="left"/>
      <w:pPr>
        <w:ind w:left="720" w:hanging="360"/>
      </w:pPr>
    </w:lvl>
    <w:lvl w:ilvl="1" w:tplc="14AC80DA">
      <w:start w:val="1"/>
      <w:numFmt w:val="bullet"/>
      <w:lvlText w:val="○"/>
      <w:lvlJc w:val="left"/>
      <w:pPr>
        <w:ind w:left="1440" w:hanging="360"/>
      </w:pPr>
    </w:lvl>
    <w:lvl w:ilvl="2" w:tplc="C5A24CBA">
      <w:start w:val="1"/>
      <w:numFmt w:val="bullet"/>
      <w:lvlText w:val="■"/>
      <w:lvlJc w:val="left"/>
      <w:pPr>
        <w:ind w:left="2160" w:hanging="360"/>
      </w:pPr>
    </w:lvl>
    <w:lvl w:ilvl="3" w:tplc="CDE41B92">
      <w:start w:val="1"/>
      <w:numFmt w:val="bullet"/>
      <w:lvlText w:val="●"/>
      <w:lvlJc w:val="left"/>
      <w:pPr>
        <w:ind w:left="2880" w:hanging="360"/>
      </w:pPr>
    </w:lvl>
    <w:lvl w:ilvl="4" w:tplc="1D14E9A8">
      <w:start w:val="1"/>
      <w:numFmt w:val="bullet"/>
      <w:lvlText w:val="○"/>
      <w:lvlJc w:val="left"/>
      <w:pPr>
        <w:ind w:left="3600" w:hanging="360"/>
      </w:pPr>
    </w:lvl>
    <w:lvl w:ilvl="5" w:tplc="59D48C56">
      <w:start w:val="1"/>
      <w:numFmt w:val="bullet"/>
      <w:lvlText w:val="■"/>
      <w:lvlJc w:val="left"/>
      <w:pPr>
        <w:ind w:left="4320" w:hanging="360"/>
      </w:pPr>
    </w:lvl>
    <w:lvl w:ilvl="6" w:tplc="3A66BE38">
      <w:start w:val="1"/>
      <w:numFmt w:val="bullet"/>
      <w:lvlText w:val="●"/>
      <w:lvlJc w:val="left"/>
      <w:pPr>
        <w:ind w:left="5040" w:hanging="360"/>
      </w:pPr>
    </w:lvl>
    <w:lvl w:ilvl="7" w:tplc="1F240260">
      <w:start w:val="1"/>
      <w:numFmt w:val="bullet"/>
      <w:lvlText w:val="●"/>
      <w:lvlJc w:val="left"/>
      <w:pPr>
        <w:ind w:left="5760" w:hanging="360"/>
      </w:pPr>
    </w:lvl>
    <w:lvl w:ilvl="8" w:tplc="62E67EC2">
      <w:start w:val="1"/>
      <w:numFmt w:val="bullet"/>
      <w:lvlText w:val="●"/>
      <w:lvlJc w:val="left"/>
      <w:pPr>
        <w:ind w:left="6480" w:hanging="360"/>
      </w:pPr>
    </w:lvl>
  </w:abstractNum>
  <w:num w:numId="1" w16cid:durableId="1770084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90F"/>
    <w:rsid w:val="00082D72"/>
    <w:rsid w:val="000B21C0"/>
    <w:rsid w:val="001D705B"/>
    <w:rsid w:val="00C52A57"/>
    <w:rsid w:val="00E0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C0E5"/>
  <w15:docId w15:val="{2C2CA51C-66E9-409D-9FDF-49169318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1641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Paulo Roberto Froes Toniazzo</cp:lastModifiedBy>
  <cp:revision>2</cp:revision>
  <dcterms:created xsi:type="dcterms:W3CDTF">2026-09-28T13:08:00Z</dcterms:created>
  <dcterms:modified xsi:type="dcterms:W3CDTF">2026-09-28T13:08:00Z</dcterms:modified>
</cp:coreProperties>
</file>