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AE33C" w14:textId="77777777" w:rsidR="00055131" w:rsidRDefault="00000000">
      <w:pPr>
        <w:spacing w:after="60"/>
        <w:jc w:val="center"/>
      </w:pPr>
      <w:r>
        <w:rPr>
          <w:noProof/>
        </w:rPr>
        <w:drawing>
          <wp:inline distT="0" distB="0" distL="0" distR="0" wp14:anchorId="6F54D830" wp14:editId="24F6ADD6">
            <wp:extent cx="609600" cy="5905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C493E" w14:textId="77777777" w:rsidR="00055131" w:rsidRDefault="00000000">
      <w:pPr>
        <w:spacing w:after="20"/>
        <w:jc w:val="center"/>
      </w:pPr>
      <w:r>
        <w:rPr>
          <w:b/>
          <w:bCs/>
          <w:color w:val="1F3864"/>
          <w:sz w:val="30"/>
          <w:szCs w:val="30"/>
        </w:rPr>
        <w:t>TONIAZZO ADVOGADOS</w:t>
      </w:r>
    </w:p>
    <w:p w14:paraId="65929E32" w14:textId="77777777" w:rsidR="00055131" w:rsidRDefault="00000000">
      <w:pPr>
        <w:spacing w:after="20"/>
        <w:jc w:val="center"/>
      </w:pPr>
      <w:r>
        <w:rPr>
          <w:color w:val="595959"/>
          <w:sz w:val="17"/>
          <w:szCs w:val="17"/>
        </w:rPr>
        <w:t>Rua General Liberato Bittencourt, nº 1475, Sala 817, Florianópolis/SC</w:t>
      </w:r>
    </w:p>
    <w:p w14:paraId="44CBD9BA" w14:textId="77777777" w:rsidR="00055131" w:rsidRDefault="00000000">
      <w:pPr>
        <w:spacing w:after="20"/>
        <w:jc w:val="center"/>
      </w:pPr>
      <w:r>
        <w:rPr>
          <w:color w:val="595959"/>
          <w:sz w:val="17"/>
          <w:szCs w:val="17"/>
        </w:rPr>
        <w:t>Paulo Roberto Froes Toniazzo — OAB/SC 45.650</w:t>
      </w:r>
    </w:p>
    <w:p w14:paraId="5B6C8E2F" w14:textId="77777777" w:rsidR="00055131" w:rsidRDefault="00055131">
      <w:pPr>
        <w:pBdr>
          <w:bottom w:val="single" w:sz="6" w:space="1" w:color="1F3864"/>
        </w:pBdr>
        <w:spacing w:after="200"/>
      </w:pPr>
    </w:p>
    <w:p w14:paraId="6E978434" w14:textId="77777777" w:rsidR="00055131" w:rsidRDefault="00000000">
      <w:pPr>
        <w:spacing w:after="40"/>
        <w:jc w:val="center"/>
      </w:pPr>
      <w:r>
        <w:rPr>
          <w:b/>
          <w:bCs/>
          <w:color w:val="1F3864"/>
          <w:sz w:val="30"/>
          <w:szCs w:val="30"/>
        </w:rPr>
        <w:t>BOLETIM SEMANAL DE JURISPRUDÊNCIA BANCÁRIA</w:t>
      </w:r>
    </w:p>
    <w:p w14:paraId="45B7A4A5" w14:textId="77777777" w:rsidR="00055131" w:rsidRDefault="00000000">
      <w:pPr>
        <w:spacing w:after="40"/>
        <w:jc w:val="center"/>
      </w:pPr>
      <w:r>
        <w:rPr>
          <w:i/>
          <w:iCs/>
          <w:sz w:val="22"/>
          <w:szCs w:val="22"/>
        </w:rPr>
        <w:t>Contencioso Bancário — Orientação para Defesa do Consumidor</w:t>
      </w:r>
    </w:p>
    <w:p w14:paraId="31341B32" w14:textId="77777777" w:rsidR="00055131" w:rsidRDefault="00000000">
      <w:pPr>
        <w:spacing w:after="40"/>
        <w:jc w:val="center"/>
      </w:pPr>
      <w:r>
        <w:rPr>
          <w:color w:val="595959"/>
          <w:sz w:val="19"/>
          <w:szCs w:val="19"/>
        </w:rPr>
        <w:t>Tribunais pesquisados: STJ, TJSC e TJSP</w:t>
      </w:r>
    </w:p>
    <w:p w14:paraId="37040B0E" w14:textId="77777777" w:rsidR="00055131" w:rsidRDefault="00000000">
      <w:pPr>
        <w:spacing w:after="260"/>
        <w:jc w:val="center"/>
      </w:pPr>
      <w:r>
        <w:rPr>
          <w:b/>
          <w:bCs/>
          <w:sz w:val="19"/>
          <w:szCs w:val="19"/>
        </w:rPr>
        <w:t>Período pesquisado: segunda-feira, 21/09/2026, a domingo, 27/09/2026</w:t>
      </w:r>
    </w:p>
    <w:p w14:paraId="063F099B" w14:textId="398D038C" w:rsidR="00C67625" w:rsidRDefault="00C67625" w:rsidP="00C67625">
      <w:pPr>
        <w:pStyle w:val="Ttulo1"/>
        <w:spacing w:before="320" w:after="140"/>
      </w:pPr>
      <w:r>
        <w:rPr>
          <w:b/>
          <w:bCs/>
          <w:color w:val="1F3864"/>
          <w:sz w:val="26"/>
          <w:szCs w:val="26"/>
        </w:rPr>
        <w:t>C</w:t>
      </w:r>
      <w:r>
        <w:rPr>
          <w:b/>
          <w:bCs/>
          <w:color w:val="1F3864"/>
          <w:sz w:val="26"/>
          <w:szCs w:val="26"/>
        </w:rPr>
        <w:t>ritérios de seleção dos julgados</w:t>
      </w:r>
    </w:p>
    <w:p w14:paraId="2534ADBC" w14:textId="77777777" w:rsidR="00055131" w:rsidRDefault="00000000">
      <w:pPr>
        <w:spacing w:after="140" w:line="276" w:lineRule="auto"/>
      </w:pPr>
      <w:r>
        <w:t>Cada julgado foi avaliado quanto aos seguintes critérios, adotados cumulativamente: impacto prático no contencioso bancário; novidade do entendimento firmado; recorrência do tema nas demandas de consumo bancário; potencial de uso em defesa ou recurso; repercussão para instituições financeiras ou para consumidores; alinhamento ou divergência com precedentes do STJ; e utilidade estratégica para prevenção de risco processual.</w:t>
      </w:r>
    </w:p>
    <w:p w14:paraId="378E5177" w14:textId="77777777" w:rsidR="00055131" w:rsidRDefault="00000000">
      <w:pPr>
        <w:pStyle w:val="Ttulo1"/>
        <w:spacing w:before="320" w:after="140"/>
      </w:pPr>
      <w:r>
        <w:rPr>
          <w:b/>
          <w:bCs/>
          <w:color w:val="1F3864"/>
          <w:sz w:val="26"/>
          <w:szCs w:val="26"/>
        </w:rPr>
        <w:t>Julgados por tema</w:t>
      </w:r>
    </w:p>
    <w:p w14:paraId="69D80AFC" w14:textId="77777777" w:rsidR="00055131" w:rsidRDefault="00000000">
      <w:pPr>
        <w:pStyle w:val="Ttulo2"/>
        <w:spacing w:before="220" w:after="100"/>
      </w:pPr>
      <w:r>
        <w:rPr>
          <w:b/>
          <w:bCs/>
          <w:color w:val="1F3864"/>
          <w:sz w:val="23"/>
          <w:szCs w:val="23"/>
        </w:rPr>
        <w:t>1. Fraude bancária</w:t>
      </w:r>
    </w:p>
    <w:p w14:paraId="3A339300" w14:textId="77777777" w:rsidR="00055131" w:rsidRDefault="00000000">
      <w:pPr>
        <w:spacing w:before="160" w:after="80"/>
      </w:pPr>
      <w:r>
        <w:rPr>
          <w:b/>
          <w:bCs/>
        </w:rPr>
        <w:t>TJSP — Julgado 1</w:t>
      </w:r>
    </w:p>
    <w:tbl>
      <w:tblPr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055131" w14:paraId="7542BF30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shd w:val="clear" w:color="auto" w:fill="F2F2F2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679B42C9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Tema/categoria: </w:t>
            </w:r>
            <w:r>
              <w:rPr>
                <w:sz w:val="20"/>
                <w:szCs w:val="20"/>
              </w:rPr>
              <w:t>Fraude bancária — golpe do falso funcionário/central de atendimento</w:t>
            </w:r>
          </w:p>
          <w:p w14:paraId="4A5E066A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Tribunal: </w:t>
            </w:r>
            <w:r>
              <w:rPr>
                <w:sz w:val="20"/>
                <w:szCs w:val="20"/>
              </w:rPr>
              <w:t>TJSP</w:t>
            </w:r>
          </w:p>
          <w:p w14:paraId="1428F1D8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Órgão julgador: </w:t>
            </w:r>
            <w:r>
              <w:rPr>
                <w:sz w:val="20"/>
                <w:szCs w:val="20"/>
              </w:rPr>
              <w:t>Turma Recursal do Núcleo 4.0 em Segundo Grau (não confirmado se se trata de Turma Recursal de Juizado Especial ou Câmara de Direito Privado — a identificação do relator como "Juiz", e não "Desembargador", sugere turma recursal; recomenda-se confirmação direta pelo escritório)</w:t>
            </w:r>
          </w:p>
          <w:p w14:paraId="01D29D13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Número do processo: </w:t>
            </w:r>
            <w:r>
              <w:rPr>
                <w:sz w:val="20"/>
                <w:szCs w:val="20"/>
              </w:rPr>
              <w:t>4009218-10.2025.8.26.0001</w:t>
            </w:r>
          </w:p>
          <w:p w14:paraId="07E09ED3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Classe processual: </w:t>
            </w:r>
            <w:r>
              <w:rPr>
                <w:sz w:val="20"/>
                <w:szCs w:val="20"/>
              </w:rPr>
              <w:t>não confirmada na fonte consultada (provável Recurso Inominado)</w:t>
            </w:r>
          </w:p>
          <w:p w14:paraId="4F39AB9E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Data de julgamento/publicação: </w:t>
            </w:r>
            <w:r>
              <w:rPr>
                <w:sz w:val="20"/>
                <w:szCs w:val="20"/>
              </w:rPr>
              <w:t>notícia publicada em 26/09/2026, com atualização registrada em 24/09/2026; data exata da sessão de julgamento não disponível na fonte consultada</w:t>
            </w:r>
          </w:p>
          <w:p w14:paraId="7279A840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Relator(a): </w:t>
            </w:r>
            <w:r>
              <w:rPr>
                <w:sz w:val="20"/>
                <w:szCs w:val="20"/>
              </w:rPr>
              <w:t>Juiz Ricardo Hoffmann</w:t>
            </w:r>
          </w:p>
          <w:p w14:paraId="40388454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Resumo objetivo da controvérsia: </w:t>
            </w:r>
            <w:r>
              <w:rPr>
                <w:sz w:val="20"/>
                <w:szCs w:val="20"/>
              </w:rPr>
              <w:t>Cliente relatou ter sido vítima do golpe do falso funcionário do banco, com acesso não autorizado à conta e contratação de empréstimo de R$ 68,7 mil, Pix de R$ 58,7 mil e compras de R$ 139,3 mil no cartão de crédito. O banco alegou autenticação regular por senha, caso fortuito externo e culpa exclusiva da vítima.</w:t>
            </w:r>
          </w:p>
          <w:p w14:paraId="533965B4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Critério específico de relevância: </w:t>
            </w:r>
            <w:r>
              <w:rPr>
                <w:sz w:val="20"/>
                <w:szCs w:val="20"/>
              </w:rPr>
              <w:t>Alinhamento direto com a Súmula 479 do STJ (fortuito interno) e alta recorrência de casos de engenharia social no contencioso bancário de consumo</w:t>
            </w:r>
          </w:p>
          <w:p w14:paraId="5BFF8667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Tese ou entendimento adotado: </w:t>
            </w:r>
            <w:r>
              <w:rPr>
                <w:sz w:val="20"/>
                <w:szCs w:val="20"/>
              </w:rPr>
              <w:t>A instituição financeira responde objetivamente por fraude eletrônica quando não demonstra ter monitorado operações incompatíveis com o padrão de consumo do cliente</w:t>
            </w:r>
          </w:p>
          <w:p w14:paraId="74D3F95A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Resultado do julgamento: </w:t>
            </w:r>
            <w:r>
              <w:rPr>
                <w:sz w:val="20"/>
                <w:szCs w:val="20"/>
              </w:rPr>
              <w:t>Sentença de primeira instância mantida por unanimidade; empréstimo e compras declarados inexigíveis, com condenação do banco a restituir o valor transferido via Pix</w:t>
            </w:r>
          </w:p>
          <w:p w14:paraId="0311ED08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Impacto prático para atuação contenciosa bancária: </w:t>
            </w:r>
            <w:r>
              <w:rPr>
                <w:sz w:val="20"/>
                <w:szCs w:val="20"/>
              </w:rPr>
              <w:t>Reforça a exigência de que o banco comprove mecanismos de segurança compatíveis com o padrão de consumo do cliente, sob pena de responsabilização objetiva por fraude de engenharia social</w:t>
            </w:r>
          </w:p>
          <w:p w14:paraId="61BEFEC8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Teses defensivas / argumentos estratégicos (foco no consumidor): </w:t>
            </w:r>
            <w:r>
              <w:rPr>
                <w:sz w:val="20"/>
                <w:szCs w:val="20"/>
              </w:rPr>
              <w:t>Inversão do ônus da prova quanto à existência de mecanismos antifraude eficazes; caracterização de fortuito interno como risco da atividade bancária; irrelevância da autenticação por senha ou token quando a operação destoa do perfil do cliente</w:t>
            </w:r>
          </w:p>
          <w:p w14:paraId="7741254F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Classificação: </w:t>
            </w:r>
            <w:r>
              <w:rPr>
                <w:sz w:val="20"/>
                <w:szCs w:val="20"/>
              </w:rPr>
              <w:t>Favorável ao consumidor</w:t>
            </w:r>
          </w:p>
          <w:p w14:paraId="194132B3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Link para consulta: </w:t>
            </w:r>
            <w:hyperlink r:id="rId6" w:history="1">
              <w:r>
                <w:rPr>
                  <w:rStyle w:val="Hyperlink"/>
                  <w:sz w:val="20"/>
                  <w:szCs w:val="20"/>
                </w:rPr>
                <w:t>https://www.migalhas.com.br/quentes/465116/banco-responde-por-emprestimo-e-pix-incompativeis-com-perfil-de-cliente</w:t>
              </w:r>
            </w:hyperlink>
          </w:p>
        </w:tc>
      </w:tr>
    </w:tbl>
    <w:p w14:paraId="46A871E1" w14:textId="71CDF549" w:rsidR="00055131" w:rsidRDefault="00000000">
      <w:pPr>
        <w:spacing w:before="160" w:after="80"/>
      </w:pPr>
      <w:r>
        <w:rPr>
          <w:b/>
          <w:bCs/>
        </w:rPr>
        <w:lastRenderedPageBreak/>
        <w:t xml:space="preserve">TJSP — Julgado 2 </w:t>
      </w:r>
    </w:p>
    <w:tbl>
      <w:tblPr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055131" w14:paraId="7A19237C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shd w:val="clear" w:color="auto" w:fill="F2F2F2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7259D9A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Tema/categoria: </w:t>
            </w:r>
            <w:r>
              <w:rPr>
                <w:sz w:val="20"/>
                <w:szCs w:val="20"/>
              </w:rPr>
              <w:t>Fraude bancária — golpe do falso advogado (transferências para instituição de pagamento)</w:t>
            </w:r>
          </w:p>
          <w:p w14:paraId="091C071F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Tribunal: </w:t>
            </w:r>
            <w:r>
              <w:rPr>
                <w:sz w:val="20"/>
                <w:szCs w:val="20"/>
              </w:rPr>
              <w:t>TJSP</w:t>
            </w:r>
          </w:p>
          <w:p w14:paraId="1349F280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Órgão julgador: </w:t>
            </w:r>
            <w:r>
              <w:rPr>
                <w:sz w:val="20"/>
                <w:szCs w:val="20"/>
              </w:rPr>
              <w:t>11ª Câmara de Direito Privado</w:t>
            </w:r>
          </w:p>
          <w:p w14:paraId="16E8E1DC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Número do processo: </w:t>
            </w:r>
            <w:r>
              <w:rPr>
                <w:sz w:val="20"/>
                <w:szCs w:val="20"/>
              </w:rPr>
              <w:t>1002545-92.2025.8.26.0602</w:t>
            </w:r>
          </w:p>
          <w:p w14:paraId="7F2D61BA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Classe processual: </w:t>
            </w:r>
            <w:r>
              <w:rPr>
                <w:sz w:val="20"/>
                <w:szCs w:val="20"/>
              </w:rPr>
              <w:t>Apelação Cível</w:t>
            </w:r>
          </w:p>
          <w:p w14:paraId="0B0B0E3D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Data de julgamento/publicação: </w:t>
            </w:r>
            <w:r>
              <w:rPr>
                <w:sz w:val="20"/>
                <w:szCs w:val="20"/>
              </w:rPr>
              <w:t>julgado em 06/08/2026 (fora da janela pesquisada); divulgado oficialmente no Boletim de Julgados Selecionados nº 08/2026 da Seção de Direito Privado (GAPRI/TJSP), publicado em 21/09/2026 (dentro da janela)</w:t>
            </w:r>
          </w:p>
          <w:p w14:paraId="422E02C4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Relator(a): </w:t>
            </w:r>
            <w:r>
              <w:rPr>
                <w:sz w:val="20"/>
                <w:szCs w:val="20"/>
              </w:rPr>
              <w:t>Desembargador José Marcelo Tossi Silva</w:t>
            </w:r>
          </w:p>
          <w:p w14:paraId="7A2CF36A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Resumo objetivo da controvérsia: </w:t>
            </w:r>
            <w:r>
              <w:rPr>
                <w:sz w:val="20"/>
                <w:szCs w:val="20"/>
              </w:rPr>
              <w:t>Ação de reparação de danos materiais decorrentes do golpe do falso advogado, com transferências feitas para contas mantidas por instituições de pagamento. Discutiu-se a aplicação do CDC por equiparação e a responsabilidade objetiva das instituições financeiras rés.</w:t>
            </w:r>
          </w:p>
          <w:p w14:paraId="29831E06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Critério específico de relevância: </w:t>
            </w:r>
            <w:r>
              <w:rPr>
                <w:sz w:val="20"/>
                <w:szCs w:val="20"/>
              </w:rPr>
              <w:t>Confirma que instituições de pagamento, e não apenas bancos tradicionais, respondem objetivamente por fraudes praticadas por meio de contas nelas mantidas</w:t>
            </w:r>
          </w:p>
          <w:p w14:paraId="2623910A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Tese ou entendimento adotado: </w:t>
            </w:r>
            <w:r>
              <w:rPr>
                <w:sz w:val="20"/>
                <w:szCs w:val="20"/>
              </w:rPr>
              <w:t>A responsabilidade objetiva das instituições financeiras não é afastada pela exigência de demonstração de defeito do serviço e nexo causal, aplicando-se o CDC por equiparação</w:t>
            </w:r>
          </w:p>
          <w:p w14:paraId="3D8003B3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Resultado do julgamento: </w:t>
            </w:r>
            <w:r>
              <w:rPr>
                <w:sz w:val="20"/>
                <w:szCs w:val="20"/>
              </w:rPr>
              <w:t>Recurso da instituição financeira não provido, com majoração de honorários; unanimidade não confirmada na fonte consultada</w:t>
            </w:r>
          </w:p>
          <w:p w14:paraId="731AC669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Impacto prático para atuação contenciosa bancária: </w:t>
            </w:r>
            <w:r>
              <w:rPr>
                <w:sz w:val="20"/>
                <w:szCs w:val="20"/>
              </w:rPr>
              <w:t>Amplia a responsabilização a instituições de pagamento e fintechs receptoras de valores fraudados, com utilidade em ações contra contas de passagem</w:t>
            </w:r>
          </w:p>
          <w:p w14:paraId="653AA8EC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Teses defensivas / argumentos estratégicos (foco no consumidor): </w:t>
            </w:r>
            <w:r>
              <w:rPr>
                <w:sz w:val="20"/>
                <w:szCs w:val="20"/>
              </w:rPr>
              <w:t>Equiparação de instituições de pagamento a fornecedores de serviço para fins de CDC; responsabilidade solidária de toda a cadeia bancária envolvida na fraude, incluindo o banco de origem e a instituição de pagamento destinatária</w:t>
            </w:r>
          </w:p>
          <w:p w14:paraId="166F4C77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Classificação: </w:t>
            </w:r>
            <w:r>
              <w:rPr>
                <w:sz w:val="20"/>
                <w:szCs w:val="20"/>
              </w:rPr>
              <w:t>Favorável ao consumidor</w:t>
            </w:r>
          </w:p>
          <w:p w14:paraId="46D525D4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Link para consulta: </w:t>
            </w:r>
            <w:hyperlink r:id="rId7" w:history="1">
              <w:r>
                <w:rPr>
                  <w:rStyle w:val="Hyperlink"/>
                  <w:sz w:val="20"/>
                  <w:szCs w:val="20"/>
                </w:rPr>
                <w:t>https://api.tjsp.jus.br/Handlers/Handler/FileFetch.ashx?codigo=200250</w:t>
              </w:r>
            </w:hyperlink>
          </w:p>
        </w:tc>
      </w:tr>
    </w:tbl>
    <w:p w14:paraId="31733459" w14:textId="77777777" w:rsidR="00055131" w:rsidRDefault="00000000">
      <w:pPr>
        <w:pStyle w:val="Ttulo2"/>
        <w:spacing w:before="220" w:after="100"/>
      </w:pPr>
      <w:r>
        <w:rPr>
          <w:b/>
          <w:bCs/>
          <w:color w:val="1F3864"/>
          <w:sz w:val="23"/>
          <w:szCs w:val="23"/>
        </w:rPr>
        <w:t>2. Contratos bancários</w:t>
      </w:r>
    </w:p>
    <w:p w14:paraId="2BAC0E2E" w14:textId="77777777" w:rsidR="00055131" w:rsidRDefault="00000000">
      <w:pPr>
        <w:spacing w:before="160" w:after="80"/>
      </w:pPr>
      <w:r>
        <w:rPr>
          <w:b/>
          <w:bCs/>
        </w:rPr>
        <w:t>STJ — Julgado único do tema</w:t>
      </w:r>
    </w:p>
    <w:tbl>
      <w:tblPr>
        <w:tblW w:w="93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055131" w14:paraId="7779322E" w14:textId="77777777">
        <w:tblPrEx>
          <w:tblCellMar>
            <w:top w:w="0" w:type="dxa"/>
            <w:bottom w:w="0" w:type="dxa"/>
          </w:tblCellMar>
        </w:tblPrEx>
        <w:tc>
          <w:tcPr>
            <w:tcW w:w="9350" w:type="dxa"/>
            <w:shd w:val="clear" w:color="auto" w:fill="F2F2F2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02A8B802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Tema/categoria: </w:t>
            </w:r>
            <w:r>
              <w:rPr>
                <w:sz w:val="20"/>
                <w:szCs w:val="20"/>
              </w:rPr>
              <w:t xml:space="preserve">Contratos bancários — encerramento unilateral de </w:t>
            </w:r>
            <w:proofErr w:type="spellStart"/>
            <w:r>
              <w:rPr>
                <w:sz w:val="20"/>
                <w:szCs w:val="20"/>
              </w:rPr>
              <w:t>conta-corrente</w:t>
            </w:r>
            <w:proofErr w:type="spellEnd"/>
          </w:p>
          <w:p w14:paraId="1DA7C82C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Tribunal: </w:t>
            </w:r>
            <w:r>
              <w:rPr>
                <w:sz w:val="20"/>
                <w:szCs w:val="20"/>
              </w:rPr>
              <w:t>STJ</w:t>
            </w:r>
          </w:p>
          <w:p w14:paraId="48B6F03E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Órgão julgador: </w:t>
            </w:r>
            <w:r>
              <w:rPr>
                <w:sz w:val="20"/>
                <w:szCs w:val="20"/>
              </w:rPr>
              <w:t>Segunda Seção</w:t>
            </w:r>
          </w:p>
          <w:p w14:paraId="2D2B441B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Número do processo: </w:t>
            </w:r>
            <w:r>
              <w:rPr>
                <w:sz w:val="20"/>
                <w:szCs w:val="20"/>
              </w:rPr>
              <w:t>REsp 1.941.347 (paradigma do Tema Repetitivo 1.119); não confirmada a existência de um segundo recurso paradigma</w:t>
            </w:r>
          </w:p>
          <w:p w14:paraId="6FE08185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Classe processual: </w:t>
            </w:r>
            <w:r>
              <w:rPr>
                <w:sz w:val="20"/>
                <w:szCs w:val="20"/>
              </w:rPr>
              <w:t>Recurso Especial — recurso repetitivo</w:t>
            </w:r>
          </w:p>
          <w:p w14:paraId="12D5B09F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Data de julgamento/publicação: </w:t>
            </w:r>
            <w:r>
              <w:rPr>
                <w:sz w:val="20"/>
                <w:szCs w:val="20"/>
              </w:rPr>
              <w:t>julgamento localizado em 23 ou 24/09/2026 conforme a fonte (pequena divergência entre extrações); notícia oficial publicada em 24/09/2026 — ambas as datas dentro da janela pesquisada</w:t>
            </w:r>
          </w:p>
          <w:p w14:paraId="2AE58D6B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Relator(a): </w:t>
            </w:r>
            <w:r>
              <w:rPr>
                <w:sz w:val="20"/>
                <w:szCs w:val="20"/>
              </w:rPr>
              <w:t>Ministro Humberto Martins</w:t>
            </w:r>
          </w:p>
          <w:p w14:paraId="436F0A8D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Resumo objetivo da controvérsia: </w:t>
            </w:r>
            <w:r>
              <w:rPr>
                <w:sz w:val="20"/>
                <w:szCs w:val="20"/>
              </w:rPr>
              <w:t xml:space="preserve">Discutiu-se se a vedação do art. 39, IX, do CDC, que veda a recusa injustificada de atendimento a demandas de consumo, impede o encerramento unilateral de contrato de </w:t>
            </w:r>
            <w:proofErr w:type="spellStart"/>
            <w:r>
              <w:rPr>
                <w:sz w:val="20"/>
                <w:szCs w:val="20"/>
              </w:rPr>
              <w:t>conta-corrente</w:t>
            </w:r>
            <w:proofErr w:type="spellEnd"/>
            <w:r>
              <w:rPr>
                <w:sz w:val="20"/>
                <w:szCs w:val="20"/>
              </w:rPr>
              <w:t xml:space="preserve"> bancária pela instituição financeira.</w:t>
            </w:r>
          </w:p>
          <w:p w14:paraId="15F4A468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Critério específico de relevância: </w:t>
            </w:r>
            <w:r>
              <w:rPr>
                <w:sz w:val="20"/>
                <w:szCs w:val="20"/>
              </w:rPr>
              <w:t xml:space="preserve">Julgamento em recurso repetitivo (Tema 1.119), com efeito vinculante para todas as ações em curso sobre encerramento unilateral de </w:t>
            </w:r>
            <w:proofErr w:type="spellStart"/>
            <w:r>
              <w:rPr>
                <w:sz w:val="20"/>
                <w:szCs w:val="20"/>
              </w:rPr>
              <w:t>conta-corrente</w:t>
            </w:r>
            <w:proofErr w:type="spellEnd"/>
            <w:r>
              <w:rPr>
                <w:sz w:val="20"/>
                <w:szCs w:val="20"/>
              </w:rPr>
              <w:t>; tema de alta recorrência no contencioso bancário de consumo</w:t>
            </w:r>
          </w:p>
          <w:p w14:paraId="6553F3CF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Tese ou entendimento adotado: </w:t>
            </w:r>
            <w:r>
              <w:rPr>
                <w:sz w:val="20"/>
                <w:szCs w:val="20"/>
              </w:rPr>
              <w:t xml:space="preserve">"A vedação prevista no artigo 39, inciso IX, do CDC não se aplica à resilição unilateral de contrato de </w:t>
            </w:r>
            <w:proofErr w:type="spellStart"/>
            <w:r>
              <w:rPr>
                <w:sz w:val="20"/>
                <w:szCs w:val="20"/>
              </w:rPr>
              <w:t>conta-corrente</w:t>
            </w:r>
            <w:proofErr w:type="spellEnd"/>
            <w:r>
              <w:rPr>
                <w:sz w:val="20"/>
                <w:szCs w:val="20"/>
              </w:rPr>
              <w:t xml:space="preserve"> bancária por iniciativa da instituição financeira", mantida a exigência de prévia notificação e dos deveres de transparência e informação previstos na Resolução CMN 4.753/2019</w:t>
            </w:r>
          </w:p>
          <w:p w14:paraId="60BD37B8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Resultado do julgamento: </w:t>
            </w:r>
            <w:r>
              <w:rPr>
                <w:sz w:val="20"/>
                <w:szCs w:val="20"/>
              </w:rPr>
              <w:t>Julgado por maioria de votos; placar exato não disponível na fonte consultada. Recurso do banco provido</w:t>
            </w:r>
          </w:p>
          <w:p w14:paraId="560F80C8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Impacto prático para atuação contenciosa bancária: </w:t>
            </w:r>
            <w:r>
              <w:rPr>
                <w:sz w:val="20"/>
                <w:szCs w:val="20"/>
              </w:rPr>
              <w:t xml:space="preserve">Inviabiliza a tese de que o mero encerramento unilateral de </w:t>
            </w:r>
            <w:proofErr w:type="spellStart"/>
            <w:r>
              <w:rPr>
                <w:sz w:val="20"/>
                <w:szCs w:val="20"/>
              </w:rPr>
              <w:t>conta-corrente</w:t>
            </w:r>
            <w:proofErr w:type="spellEnd"/>
            <w:r>
              <w:rPr>
                <w:sz w:val="20"/>
                <w:szCs w:val="20"/>
              </w:rPr>
              <w:t>, por si só, viola o CDC. A discussão útil desloca-se para a ausência ou insuficiência da notificação prévia, o descumprimento da Resolução CMN 4.753/2019, a motivação discriminatória ou abusiva do encerramento e o dano decorrente da forma ou do prazo do encerramento</w:t>
            </w:r>
          </w:p>
          <w:p w14:paraId="2BCC6AEC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Teses defensivas / argumentos estratégicos (foco no consumidor): </w:t>
            </w:r>
            <w:r>
              <w:rPr>
                <w:sz w:val="20"/>
                <w:szCs w:val="20"/>
              </w:rPr>
              <w:t xml:space="preserve">Arguir descumprimento do dever de prévia notificação e dos deveres de transparência da Res. CMN 4.753/2019; sustentar abuso de direito (art. 187 do Código Civil) quando o encerramento tiver caráter retaliatório ou discriminatório; buscar responsabilização por danos concretos de encerramento abrupto (devolução de cheques, suspensão de débito automático de contas essenciais, prazo insuficiente para portabilidade); avaliar distinção quando o produto encerrado for conta-salário ou conta vinculada a recebimento de benefício, hipótese não necessariamente alcançada pela tese fixada para </w:t>
            </w:r>
            <w:proofErr w:type="spellStart"/>
            <w:r>
              <w:rPr>
                <w:sz w:val="20"/>
                <w:szCs w:val="20"/>
              </w:rPr>
              <w:t>conta-corrente</w:t>
            </w:r>
            <w:proofErr w:type="spellEnd"/>
            <w:r>
              <w:rPr>
                <w:sz w:val="20"/>
                <w:szCs w:val="20"/>
              </w:rPr>
              <w:t xml:space="preserve"> comum</w:t>
            </w:r>
          </w:p>
          <w:p w14:paraId="5C2EB9A6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Classificação: </w:t>
            </w:r>
            <w:r>
              <w:rPr>
                <w:sz w:val="20"/>
                <w:szCs w:val="20"/>
              </w:rPr>
              <w:t>Favorável ao banco, com resguardo procedimental ao consumidor quanto à prévia notificação</w:t>
            </w:r>
          </w:p>
          <w:p w14:paraId="0794EDF3" w14:textId="77777777" w:rsidR="00055131" w:rsidRDefault="00000000">
            <w:pPr>
              <w:spacing w:after="60" w:line="264" w:lineRule="auto"/>
            </w:pPr>
            <w:r>
              <w:rPr>
                <w:b/>
                <w:bCs/>
                <w:sz w:val="20"/>
                <w:szCs w:val="20"/>
              </w:rPr>
              <w:t xml:space="preserve">Link para consulta: </w:t>
            </w:r>
            <w:hyperlink r:id="rId8" w:history="1">
              <w:r>
                <w:rPr>
                  <w:rStyle w:val="Hyperlink"/>
                  <w:sz w:val="20"/>
                  <w:szCs w:val="20"/>
                </w:rPr>
                <w:t>https://www.stj.jus.br/sites/portalp/Paginas/Comunicacao/Noticias/2026/24092026-Repetitivo-afasta-regra-do-CDC-e-define-que-banco-pode-encerrar-conta-corrente-de-forma-unilateral.aspx</w:t>
              </w:r>
            </w:hyperlink>
          </w:p>
        </w:tc>
      </w:tr>
    </w:tbl>
    <w:p w14:paraId="3D2A2DC9" w14:textId="02426E6F" w:rsidR="00055131" w:rsidRDefault="00000000" w:rsidP="00C67625">
      <w:pPr>
        <w:pStyle w:val="Ttulo2"/>
        <w:spacing w:before="220" w:after="100"/>
      </w:pPr>
      <w:r>
        <w:rPr>
          <w:b/>
          <w:bCs/>
          <w:color w:val="1F3864"/>
        </w:rPr>
        <w:lastRenderedPageBreak/>
        <w:t>Síntese estratégica da semana</w:t>
      </w:r>
    </w:p>
    <w:p w14:paraId="162B40B4" w14:textId="77777777" w:rsidR="00055131" w:rsidRDefault="00000000">
      <w:pPr>
        <w:spacing w:before="160" w:after="80"/>
      </w:pPr>
      <w:r>
        <w:rPr>
          <w:b/>
          <w:bCs/>
        </w:rPr>
        <w:t>Entendimentos mais relevantes identificados</w:t>
      </w:r>
    </w:p>
    <w:p w14:paraId="145DF436" w14:textId="77777777" w:rsidR="00055131" w:rsidRDefault="00000000">
      <w:pPr>
        <w:pStyle w:val="PargrafodaLista"/>
        <w:numPr>
          <w:ilvl w:val="0"/>
          <w:numId w:val="1"/>
        </w:numPr>
        <w:spacing w:after="80" w:line="276" w:lineRule="auto"/>
      </w:pPr>
      <w:r>
        <w:t xml:space="preserve">STJ, Tema Repetitivo 1.119 (REsp 1.941.347, Segunda Seção): o art. 39, IX, do CDC não impede o encerramento unilateral de </w:t>
      </w:r>
      <w:proofErr w:type="spellStart"/>
      <w:r>
        <w:t>conta-corrente</w:t>
      </w:r>
      <w:proofErr w:type="spellEnd"/>
      <w:r>
        <w:t xml:space="preserve"> bancária pela instituição financeira, mantida a exigência de prévia notificação e de observância à Resolução CMN 4.753/2019.</w:t>
      </w:r>
    </w:p>
    <w:p w14:paraId="736E85A5" w14:textId="77777777" w:rsidR="00055131" w:rsidRDefault="00000000">
      <w:pPr>
        <w:pStyle w:val="PargrafodaLista"/>
        <w:numPr>
          <w:ilvl w:val="0"/>
          <w:numId w:val="1"/>
        </w:numPr>
        <w:spacing w:after="80" w:line="276" w:lineRule="auto"/>
      </w:pPr>
      <w:r>
        <w:t>TJSP, dois julgados de câmaras e turmas distintas: confirmam responsabilidade objetiva de bancos e de instituições de pagamento por fraudes de engenharia social (golpe do falso funcionário e golpe do falso advogado), na linha da Súmula 479 do STJ, inclusive quando o valor fraudado transita por instituição de pagamento e não por banco tradicional.</w:t>
      </w:r>
    </w:p>
    <w:p w14:paraId="7209F676" w14:textId="77777777" w:rsidR="00055131" w:rsidRDefault="00000000">
      <w:pPr>
        <w:spacing w:before="160" w:after="80"/>
      </w:pPr>
      <w:r>
        <w:rPr>
          <w:b/>
          <w:bCs/>
        </w:rPr>
        <w:t>Tendências favoráveis ou desfavoráveis às instituições financeiras</w:t>
      </w:r>
    </w:p>
    <w:p w14:paraId="0340FFE3" w14:textId="77777777" w:rsidR="00055131" w:rsidRDefault="00000000">
      <w:pPr>
        <w:spacing w:after="140" w:line="276" w:lineRule="auto"/>
      </w:pPr>
      <w:r>
        <w:lastRenderedPageBreak/>
        <w:t>O único julgado do STJ confirmado na semana favorece a posição das instituições financeiras quanto à liberdade de encerrar unilateralmente contas-correntes, restringindo o espaço de discussão baseado diretamente no art. 39, IX, do CDC. Os dois julgados do TJSP, por outro lado, mantiveram a responsabilização de bancos e instituições de pagamento em casos de fraude por engenharia social, sem acolher as teses de culpa exclusiva da vítima ou de caso fortuito externo.</w:t>
      </w:r>
    </w:p>
    <w:p w14:paraId="6FA5540B" w14:textId="77777777" w:rsidR="00055131" w:rsidRDefault="00000000">
      <w:pPr>
        <w:spacing w:before="160" w:after="80"/>
      </w:pPr>
      <w:r>
        <w:rPr>
          <w:b/>
          <w:bCs/>
        </w:rPr>
        <w:t>Tendências favoráveis ou desfavoráveis aos consumidores</w:t>
      </w:r>
    </w:p>
    <w:p w14:paraId="34962D20" w14:textId="77777777" w:rsidR="00055131" w:rsidRDefault="00000000">
      <w:pPr>
        <w:spacing w:after="140" w:line="276" w:lineRule="auto"/>
      </w:pPr>
      <w:r>
        <w:t>Nos casos de fraude bancária julgados nesta semana pelo TJSP, prevaleceu a responsabilidade objetiva da instituição financeira, com ônus atribuído ao banco de comprovar mecanismos de segurança compatíveis com o padrão de consumo do cliente. No tema de contratos bancários, o precedente repetitivo do STJ reduz o espaço de argumentação baseada exclusivamente na vedação genérica do art. 39, IX, do CDC, deslocando a defesa do consumidor para o descumprimento de deveres procedimentais específicos (notificação prévia, Res. CMN 4.753/2019) e para o abuso de direito em encerramentos com caráter retaliatório.</w:t>
      </w:r>
    </w:p>
    <w:p w14:paraId="077484D5" w14:textId="77777777" w:rsidR="00055131" w:rsidRDefault="00000000">
      <w:pPr>
        <w:spacing w:before="160" w:after="80"/>
      </w:pPr>
      <w:r>
        <w:rPr>
          <w:b/>
          <w:bCs/>
        </w:rPr>
        <w:t>Pontos de atenção para defesas, recursos, contestações, petições iniciais e acordos</w:t>
      </w:r>
    </w:p>
    <w:p w14:paraId="1C18A391" w14:textId="77777777" w:rsidR="00055131" w:rsidRDefault="00000000">
      <w:pPr>
        <w:pStyle w:val="PargrafodaLista"/>
        <w:numPr>
          <w:ilvl w:val="0"/>
          <w:numId w:val="1"/>
        </w:numPr>
        <w:spacing w:after="80" w:line="276" w:lineRule="auto"/>
      </w:pPr>
      <w:r>
        <w:t xml:space="preserve">Em ações sobre encerramento de </w:t>
      </w:r>
      <w:proofErr w:type="spellStart"/>
      <w:r>
        <w:t>conta-corrente</w:t>
      </w:r>
      <w:proofErr w:type="spellEnd"/>
      <w:r>
        <w:t>, direcionar a defesa para o descumprimento do dever de prévia notificação e da Resolução CMN 4.753/2019, e para eventual abuso de direito, em vez de fundamentar o pedido exclusivamente na vedação genérica do art. 39, IX, do CDC, à luz do Tema 1.119 do STJ.</w:t>
      </w:r>
    </w:p>
    <w:p w14:paraId="7847B063" w14:textId="77777777" w:rsidR="00055131" w:rsidRDefault="00000000">
      <w:pPr>
        <w:pStyle w:val="PargrafodaLista"/>
        <w:numPr>
          <w:ilvl w:val="0"/>
          <w:numId w:val="1"/>
        </w:numPr>
        <w:spacing w:after="80" w:line="276" w:lineRule="auto"/>
      </w:pPr>
      <w:r>
        <w:t>Em fraudes por engenharia social (golpe do falso funcionário, golpe do falso advogado e modalidades correlatas), reforçar a tese de fortuito interno, a ausência de monitoramento de operações atípicas ao perfil do cliente e, quando aplicável, a responsabilidade solidária de instituições de pagamento que receberam os valores fraudados.</w:t>
      </w:r>
    </w:p>
    <w:p w14:paraId="435E0F18" w14:textId="77777777" w:rsidR="00055131" w:rsidRDefault="00000000">
      <w:pPr>
        <w:spacing w:before="160" w:after="80"/>
      </w:pPr>
      <w:r>
        <w:rPr>
          <w:b/>
          <w:bCs/>
        </w:rPr>
        <w:t>Temas que merecem monitoramento nas próximas semanas</w:t>
      </w:r>
    </w:p>
    <w:p w14:paraId="0A75EBDB" w14:textId="77777777" w:rsidR="00055131" w:rsidRDefault="00000000">
      <w:pPr>
        <w:pStyle w:val="PargrafodaLista"/>
        <w:numPr>
          <w:ilvl w:val="0"/>
          <w:numId w:val="1"/>
        </w:numPr>
        <w:spacing w:after="80" w:line="276" w:lineRule="auto"/>
      </w:pPr>
      <w:r>
        <w:t>Tema 1.414 do STJ (recursos repetitivos): critérios para distinguir empréstimo consignado de cartão de crédito consignado e definição de quando essa contratação é abusiva; afetação noticiada em 17/09/2026, ainda pendente de julgamento de mérito.</w:t>
      </w:r>
    </w:p>
    <w:p w14:paraId="56AC1BF7" w14:textId="1957B993" w:rsidR="00055131" w:rsidRDefault="00000000" w:rsidP="00C67625">
      <w:pPr>
        <w:pStyle w:val="PargrafodaLista"/>
        <w:numPr>
          <w:ilvl w:val="0"/>
          <w:numId w:val="1"/>
        </w:numPr>
        <w:spacing w:after="80" w:line="276" w:lineRule="auto"/>
      </w:pPr>
      <w:r>
        <w:t>Tema 929 do STJ (Corte Especial): devolução em dobro por cobrança indevida ao consumidor (art. 42, parágrafo único, do CDC) independentemente de prova de má-fé, com afastamento de modulação de efeitos; sessão virtual concluída em 15/09/2026 e notícia publicada em 17/09/2026, portanto fora da janela desta semana (21 a 27/09/2026), mas com aplicação imediata a cobranças indevidas de tarifas, encargos e juros bancários.</w:t>
      </w:r>
    </w:p>
    <w:p w14:paraId="23B9C06D" w14:textId="77777777" w:rsidR="00055131" w:rsidRDefault="00000000">
      <w:pPr>
        <w:pStyle w:val="Ttulo1"/>
        <w:spacing w:before="320" w:after="140"/>
      </w:pPr>
      <w:r>
        <w:rPr>
          <w:b/>
          <w:bCs/>
          <w:color w:val="1F3864"/>
          <w:sz w:val="26"/>
          <w:szCs w:val="26"/>
        </w:rPr>
        <w:t>Quadro comparativo final</w:t>
      </w:r>
    </w:p>
    <w:tbl>
      <w:tblPr>
        <w:tblW w:w="10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2"/>
        <w:gridCol w:w="1437"/>
        <w:gridCol w:w="909"/>
        <w:gridCol w:w="1525"/>
        <w:gridCol w:w="1522"/>
        <w:gridCol w:w="1038"/>
        <w:gridCol w:w="1391"/>
        <w:gridCol w:w="1466"/>
      </w:tblGrid>
      <w:tr w:rsidR="00055131" w14:paraId="568DD1E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17EC71" w14:textId="77777777" w:rsidR="00055131" w:rsidRDefault="00000000">
            <w:r>
              <w:rPr>
                <w:b/>
                <w:bCs/>
                <w:color w:val="FFFFFF"/>
                <w:sz w:val="16"/>
                <w:szCs w:val="16"/>
              </w:rPr>
              <w:t>Tribunal</w:t>
            </w:r>
          </w:p>
        </w:tc>
        <w:tc>
          <w:tcPr>
            <w:tcW w:w="145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D67288" w14:textId="77777777" w:rsidR="00055131" w:rsidRDefault="00000000">
            <w:r>
              <w:rPr>
                <w:b/>
                <w:bCs/>
                <w:color w:val="FFFFFF"/>
                <w:sz w:val="16"/>
                <w:szCs w:val="16"/>
              </w:rPr>
              <w:t>Processo / referência oficial</w:t>
            </w:r>
          </w:p>
        </w:tc>
        <w:tc>
          <w:tcPr>
            <w:tcW w:w="95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4B030" w14:textId="77777777" w:rsidR="00055131" w:rsidRDefault="00000000">
            <w:r>
              <w:rPr>
                <w:b/>
                <w:bCs/>
                <w:color w:val="FFFFFF"/>
                <w:sz w:val="16"/>
                <w:szCs w:val="16"/>
              </w:rPr>
              <w:t>Tema</w:t>
            </w:r>
          </w:p>
        </w:tc>
        <w:tc>
          <w:tcPr>
            <w:tcW w:w="175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17E0AD" w14:textId="77777777" w:rsidR="00055131" w:rsidRDefault="00000000">
            <w:r>
              <w:rPr>
                <w:b/>
                <w:bCs/>
                <w:color w:val="FFFFFF"/>
                <w:sz w:val="16"/>
                <w:szCs w:val="16"/>
              </w:rPr>
              <w:t>Entendimento central</w:t>
            </w:r>
          </w:p>
        </w:tc>
        <w:tc>
          <w:tcPr>
            <w:tcW w:w="130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33261" w14:textId="77777777" w:rsidR="00055131" w:rsidRDefault="00000000">
            <w:r>
              <w:rPr>
                <w:b/>
                <w:bCs/>
                <w:color w:val="FFFFFF"/>
                <w:sz w:val="16"/>
                <w:szCs w:val="16"/>
              </w:rPr>
              <w:t>Critério de relevância</w:t>
            </w:r>
          </w:p>
        </w:tc>
        <w:tc>
          <w:tcPr>
            <w:tcW w:w="90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06B6F" w14:textId="77777777" w:rsidR="00055131" w:rsidRDefault="00000000">
            <w:r>
              <w:rPr>
                <w:b/>
                <w:bCs/>
                <w:color w:val="FFFFFF"/>
                <w:sz w:val="16"/>
                <w:szCs w:val="16"/>
              </w:rPr>
              <w:t>Classificação</w:t>
            </w:r>
          </w:p>
        </w:tc>
        <w:tc>
          <w:tcPr>
            <w:tcW w:w="144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A66401" w14:textId="77777777" w:rsidR="00055131" w:rsidRDefault="00000000">
            <w:r>
              <w:rPr>
                <w:b/>
                <w:bCs/>
                <w:color w:val="FFFFFF"/>
                <w:sz w:val="16"/>
                <w:szCs w:val="16"/>
              </w:rPr>
              <w:t>Impacto prático</w:t>
            </w:r>
          </w:p>
        </w:tc>
        <w:tc>
          <w:tcPr>
            <w:tcW w:w="1550" w:type="dxa"/>
            <w:shd w:val="clear" w:color="auto" w:fill="1F3864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75CBE" w14:textId="77777777" w:rsidR="00055131" w:rsidRDefault="00000000">
            <w:r>
              <w:rPr>
                <w:b/>
                <w:bCs/>
                <w:color w:val="FFFFFF"/>
                <w:sz w:val="16"/>
                <w:szCs w:val="16"/>
              </w:rPr>
              <w:t>Tese defensiva sugerida</w:t>
            </w:r>
          </w:p>
        </w:tc>
      </w:tr>
      <w:tr w:rsidR="00055131" w14:paraId="58A4D56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A1530" w14:textId="77777777" w:rsidR="00055131" w:rsidRDefault="00000000">
            <w:r>
              <w:rPr>
                <w:sz w:val="16"/>
                <w:szCs w:val="16"/>
              </w:rPr>
              <w:t>STJ</w:t>
            </w:r>
          </w:p>
        </w:tc>
        <w:tc>
          <w:tcPr>
            <w:tcW w:w="1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B817F" w14:textId="77777777" w:rsidR="00055131" w:rsidRDefault="00000000">
            <w:r>
              <w:rPr>
                <w:sz w:val="16"/>
                <w:szCs w:val="16"/>
              </w:rPr>
              <w:t>REsp 1.941.347 (Tema 1.119)</w:t>
            </w:r>
          </w:p>
        </w:tc>
        <w:tc>
          <w:tcPr>
            <w:tcW w:w="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39B50" w14:textId="77777777" w:rsidR="00055131" w:rsidRDefault="00000000">
            <w:r>
              <w:rPr>
                <w:sz w:val="16"/>
                <w:szCs w:val="16"/>
              </w:rPr>
              <w:t>Contratos bancários</w:t>
            </w:r>
          </w:p>
        </w:tc>
        <w:tc>
          <w:tcPr>
            <w:tcW w:w="1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DA0C0D" w14:textId="77777777" w:rsidR="00055131" w:rsidRDefault="00000000">
            <w:r>
              <w:rPr>
                <w:sz w:val="16"/>
                <w:szCs w:val="16"/>
              </w:rPr>
              <w:t xml:space="preserve">Encerramento unilateral de </w:t>
            </w:r>
            <w:proofErr w:type="spellStart"/>
            <w:r>
              <w:rPr>
                <w:sz w:val="16"/>
                <w:szCs w:val="16"/>
              </w:rPr>
              <w:t>conta-corrente</w:t>
            </w:r>
            <w:proofErr w:type="spellEnd"/>
            <w:r>
              <w:rPr>
                <w:sz w:val="16"/>
                <w:szCs w:val="16"/>
              </w:rPr>
              <w:t xml:space="preserve"> não viola o art. 39, IX, do CDC; exige-se prévia notificação (Res. CMN 4.753/2019)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0D2D35" w14:textId="77777777" w:rsidR="00055131" w:rsidRDefault="00000000">
            <w:r>
              <w:rPr>
                <w:sz w:val="16"/>
                <w:szCs w:val="16"/>
              </w:rPr>
              <w:t>Recurso repetitivo, efeito vinculante, alto volume de replicação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C260A" w14:textId="77777777" w:rsidR="00055131" w:rsidRDefault="00000000">
            <w:r>
              <w:rPr>
                <w:sz w:val="16"/>
                <w:szCs w:val="16"/>
              </w:rPr>
              <w:t>Favorável ao banco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C3B06" w14:textId="77777777" w:rsidR="00055131" w:rsidRDefault="00000000">
            <w:r>
              <w:rPr>
                <w:sz w:val="16"/>
                <w:szCs w:val="16"/>
              </w:rPr>
              <w:t>Reduz espaço para tese genérica de vedação; desloca defesa para vícios procedimentais</w:t>
            </w:r>
          </w:p>
        </w:tc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915CDF" w14:textId="77777777" w:rsidR="00055131" w:rsidRDefault="00000000">
            <w:r>
              <w:rPr>
                <w:sz w:val="16"/>
                <w:szCs w:val="16"/>
              </w:rPr>
              <w:t>Descumprimento da notificação prévia; abuso de direito em encerramento retaliatório</w:t>
            </w:r>
          </w:p>
        </w:tc>
      </w:tr>
      <w:tr w:rsidR="00055131" w14:paraId="48C9E73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C2DD5" w14:textId="77777777" w:rsidR="00055131" w:rsidRDefault="00000000">
            <w:r>
              <w:rPr>
                <w:sz w:val="16"/>
                <w:szCs w:val="16"/>
              </w:rPr>
              <w:t>TJSP</w:t>
            </w:r>
          </w:p>
        </w:tc>
        <w:tc>
          <w:tcPr>
            <w:tcW w:w="1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7148D" w14:textId="77777777" w:rsidR="00055131" w:rsidRDefault="00000000">
            <w:r>
              <w:rPr>
                <w:sz w:val="16"/>
                <w:szCs w:val="16"/>
              </w:rPr>
              <w:t>Processo 4009218-10.2025.8.26.0001</w:t>
            </w:r>
          </w:p>
        </w:tc>
        <w:tc>
          <w:tcPr>
            <w:tcW w:w="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C4CB2" w14:textId="77777777" w:rsidR="00055131" w:rsidRDefault="00000000">
            <w:r>
              <w:rPr>
                <w:sz w:val="16"/>
                <w:szCs w:val="16"/>
              </w:rPr>
              <w:t>Fraude bancária</w:t>
            </w:r>
          </w:p>
        </w:tc>
        <w:tc>
          <w:tcPr>
            <w:tcW w:w="1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74305" w14:textId="77777777" w:rsidR="00055131" w:rsidRDefault="00000000">
            <w:r>
              <w:rPr>
                <w:sz w:val="16"/>
                <w:szCs w:val="16"/>
              </w:rPr>
              <w:t xml:space="preserve">Banco responde por empréstimo e Pix incompatíveis com o perfil do cliente </w:t>
            </w:r>
            <w:r>
              <w:rPr>
                <w:sz w:val="16"/>
                <w:szCs w:val="16"/>
              </w:rPr>
              <w:lastRenderedPageBreak/>
              <w:t>(golpe do falso funcionário)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73087B" w14:textId="77777777" w:rsidR="00055131" w:rsidRDefault="00000000">
            <w:r>
              <w:rPr>
                <w:sz w:val="16"/>
                <w:szCs w:val="16"/>
              </w:rPr>
              <w:lastRenderedPageBreak/>
              <w:t>Recorrência do tema; alinhamento à Súmula 479/STJ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94595" w14:textId="77777777" w:rsidR="00055131" w:rsidRDefault="00000000">
            <w:r>
              <w:rPr>
                <w:sz w:val="16"/>
                <w:szCs w:val="16"/>
              </w:rPr>
              <w:t>Favorável ao consumidor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F1203" w14:textId="77777777" w:rsidR="00055131" w:rsidRDefault="00000000">
            <w:r>
              <w:rPr>
                <w:sz w:val="16"/>
                <w:szCs w:val="16"/>
              </w:rPr>
              <w:t xml:space="preserve">Reforça responsabilidade objetiva por ausência de </w:t>
            </w:r>
            <w:r>
              <w:rPr>
                <w:sz w:val="16"/>
                <w:szCs w:val="16"/>
              </w:rPr>
              <w:lastRenderedPageBreak/>
              <w:t>monitoramento antifraude</w:t>
            </w:r>
          </w:p>
        </w:tc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2CF5C" w14:textId="77777777" w:rsidR="00055131" w:rsidRDefault="00000000">
            <w:r>
              <w:rPr>
                <w:sz w:val="16"/>
                <w:szCs w:val="16"/>
              </w:rPr>
              <w:lastRenderedPageBreak/>
              <w:t>Inversão do ônus da prova sobre mecanismos antifraude; fortuito interno</w:t>
            </w:r>
          </w:p>
        </w:tc>
      </w:tr>
      <w:tr w:rsidR="00055131" w14:paraId="0A0F3ED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73CCA" w14:textId="77777777" w:rsidR="00055131" w:rsidRDefault="00000000">
            <w:r>
              <w:rPr>
                <w:sz w:val="16"/>
                <w:szCs w:val="16"/>
              </w:rPr>
              <w:lastRenderedPageBreak/>
              <w:t>TJSP</w:t>
            </w:r>
          </w:p>
        </w:tc>
        <w:tc>
          <w:tcPr>
            <w:tcW w:w="14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3B9C6" w14:textId="77777777" w:rsidR="00055131" w:rsidRDefault="00000000">
            <w:r>
              <w:rPr>
                <w:sz w:val="16"/>
                <w:szCs w:val="16"/>
              </w:rPr>
              <w:t>Apelação 1002545-92.2025.8.26.0602 (Boletim GAPRI 08/2026)</w:t>
            </w:r>
          </w:p>
        </w:tc>
        <w:tc>
          <w:tcPr>
            <w:tcW w:w="9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A90BD" w14:textId="77777777" w:rsidR="00055131" w:rsidRDefault="00000000">
            <w:r>
              <w:rPr>
                <w:sz w:val="16"/>
                <w:szCs w:val="16"/>
              </w:rPr>
              <w:t>Fraude bancária</w:t>
            </w:r>
          </w:p>
        </w:tc>
        <w:tc>
          <w:tcPr>
            <w:tcW w:w="17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F51CA" w14:textId="77777777" w:rsidR="00055131" w:rsidRDefault="00000000">
            <w:r>
              <w:rPr>
                <w:sz w:val="16"/>
                <w:szCs w:val="16"/>
              </w:rPr>
              <w:t>Instituição de pagamento responde objetivamente por fraude (golpe do falso advogado)</w:t>
            </w:r>
          </w:p>
        </w:tc>
        <w:tc>
          <w:tcPr>
            <w:tcW w:w="13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6195E4" w14:textId="77777777" w:rsidR="00055131" w:rsidRDefault="00000000">
            <w:r>
              <w:rPr>
                <w:sz w:val="16"/>
                <w:szCs w:val="16"/>
              </w:rPr>
              <w:t>Amplia responsabilização a fintechs/instituições de pagamento</w:t>
            </w:r>
          </w:p>
        </w:tc>
        <w:tc>
          <w:tcPr>
            <w:tcW w:w="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007B3" w14:textId="77777777" w:rsidR="00055131" w:rsidRDefault="00000000">
            <w:r>
              <w:rPr>
                <w:sz w:val="16"/>
                <w:szCs w:val="16"/>
              </w:rPr>
              <w:t>Favorável ao consumidor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F41686" w14:textId="77777777" w:rsidR="00055131" w:rsidRDefault="00000000">
            <w:r>
              <w:rPr>
                <w:sz w:val="16"/>
                <w:szCs w:val="16"/>
              </w:rPr>
              <w:t>Útil contra contas de passagem em fraudes institucionais</w:t>
            </w:r>
          </w:p>
        </w:tc>
        <w:tc>
          <w:tcPr>
            <w:tcW w:w="155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10EADF" w14:textId="77777777" w:rsidR="00055131" w:rsidRDefault="00000000">
            <w:r>
              <w:rPr>
                <w:sz w:val="16"/>
                <w:szCs w:val="16"/>
              </w:rPr>
              <w:t>Equiparação da instituição de pagamento a fornecedor (CDC); solidariedade da cadeia bancária</w:t>
            </w:r>
          </w:p>
        </w:tc>
      </w:tr>
    </w:tbl>
    <w:p w14:paraId="349C682A" w14:textId="10DB5238" w:rsidR="00055131" w:rsidRDefault="00055131" w:rsidP="00C67625">
      <w:pPr>
        <w:spacing w:after="140" w:line="276" w:lineRule="auto"/>
      </w:pPr>
    </w:p>
    <w:sectPr w:rsidR="00055131">
      <w:pgSz w:w="12240" w:h="15840"/>
      <w:pgMar w:top="1000" w:right="1100" w:bottom="1000" w:left="11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Univer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64EBA"/>
    <w:multiLevelType w:val="hybridMultilevel"/>
    <w:tmpl w:val="DEA01BBE"/>
    <w:lvl w:ilvl="0" w:tplc="B0483962">
      <w:start w:val="1"/>
      <w:numFmt w:val="bullet"/>
      <w:lvlText w:val="●"/>
      <w:lvlJc w:val="left"/>
      <w:pPr>
        <w:ind w:left="720" w:hanging="360"/>
      </w:pPr>
    </w:lvl>
    <w:lvl w:ilvl="1" w:tplc="C7082148">
      <w:start w:val="1"/>
      <w:numFmt w:val="bullet"/>
      <w:lvlText w:val="○"/>
      <w:lvlJc w:val="left"/>
      <w:pPr>
        <w:ind w:left="1440" w:hanging="360"/>
      </w:pPr>
    </w:lvl>
    <w:lvl w:ilvl="2" w:tplc="5232D128">
      <w:start w:val="1"/>
      <w:numFmt w:val="bullet"/>
      <w:lvlText w:val="■"/>
      <w:lvlJc w:val="left"/>
      <w:pPr>
        <w:ind w:left="2160" w:hanging="360"/>
      </w:pPr>
    </w:lvl>
    <w:lvl w:ilvl="3" w:tplc="A61E7204">
      <w:start w:val="1"/>
      <w:numFmt w:val="bullet"/>
      <w:lvlText w:val="●"/>
      <w:lvlJc w:val="left"/>
      <w:pPr>
        <w:ind w:left="2880" w:hanging="360"/>
      </w:pPr>
    </w:lvl>
    <w:lvl w:ilvl="4" w:tplc="A7C82F46">
      <w:start w:val="1"/>
      <w:numFmt w:val="bullet"/>
      <w:lvlText w:val="○"/>
      <w:lvlJc w:val="left"/>
      <w:pPr>
        <w:ind w:left="3600" w:hanging="360"/>
      </w:pPr>
    </w:lvl>
    <w:lvl w:ilvl="5" w:tplc="1C8A616C">
      <w:start w:val="1"/>
      <w:numFmt w:val="bullet"/>
      <w:lvlText w:val="■"/>
      <w:lvlJc w:val="left"/>
      <w:pPr>
        <w:ind w:left="4320" w:hanging="360"/>
      </w:pPr>
    </w:lvl>
    <w:lvl w:ilvl="6" w:tplc="CCD6AFAA">
      <w:start w:val="1"/>
      <w:numFmt w:val="bullet"/>
      <w:lvlText w:val="●"/>
      <w:lvlJc w:val="left"/>
      <w:pPr>
        <w:ind w:left="5040" w:hanging="360"/>
      </w:pPr>
    </w:lvl>
    <w:lvl w:ilvl="7" w:tplc="B55E508E">
      <w:start w:val="1"/>
      <w:numFmt w:val="bullet"/>
      <w:lvlText w:val="●"/>
      <w:lvlJc w:val="left"/>
      <w:pPr>
        <w:ind w:left="5760" w:hanging="360"/>
      </w:pPr>
    </w:lvl>
    <w:lvl w:ilvl="8" w:tplc="D572F364">
      <w:start w:val="1"/>
      <w:numFmt w:val="bullet"/>
      <w:lvlText w:val="●"/>
      <w:lvlJc w:val="left"/>
      <w:pPr>
        <w:ind w:left="6480" w:hanging="360"/>
      </w:pPr>
    </w:lvl>
  </w:abstractNum>
  <w:num w:numId="1" w16cid:durableId="43837407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5131"/>
    <w:rsid w:val="00055131"/>
    <w:rsid w:val="00C52A57"/>
    <w:rsid w:val="00C6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324D1"/>
  <w15:docId w15:val="{2C2CA51C-66E9-409D-9FDF-49169318F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1"/>
        <w:szCs w:val="21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j.jus.br/sites/portalp/Paginas/Comunicacao/Noticias/2026/24092026-Repetitivo-afasta-regra-do-CDC-e-define-que-banco-pode-encerrar-conta-corrente-de-forma-unilateral.asp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i.tjsp.jus.br/Handlers/Handler/FileFetch.ashx?codigo=20025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igalhas.com.br/quentes/465116/banco-responde-por-emprestimo-e-pix-incompativeis-com-perfil-de-client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2080</Words>
  <Characters>11234</Characters>
  <Application>Microsoft Office Word</Application>
  <DocSecurity>0</DocSecurity>
  <Lines>93</Lines>
  <Paragraphs>26</Paragraphs>
  <ScaleCrop>false</ScaleCrop>
  <Company/>
  <LinksUpToDate>false</LinksUpToDate>
  <CharactersWithSpaces>13288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Paulo Roberto Froes Toniazzo</cp:lastModifiedBy>
  <cp:revision>2</cp:revision>
  <dcterms:created xsi:type="dcterms:W3CDTF">2026-09-28T13:16:00Z</dcterms:created>
  <dcterms:modified xsi:type="dcterms:W3CDTF">2026-09-28T13:16:00Z</dcterms:modified>
</cp:coreProperties>
</file>